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490F" w:rsidRPr="007541DD" w:rsidRDefault="0011490F" w:rsidP="00A32421">
      <w:pPr>
        <w:pStyle w:val="Heading3"/>
        <w:spacing w:before="0" w:beforeAutospacing="0" w:after="0" w:afterAutospacing="0"/>
        <w:rPr>
          <w:b w:val="0"/>
          <w:bCs w:val="0"/>
          <w:color w:val="333333"/>
          <w:sz w:val="24"/>
          <w:szCs w:val="24"/>
        </w:rPr>
      </w:pPr>
      <w:bookmarkStart w:id="0" w:name="_GoBack"/>
      <w:bookmarkEnd w:id="0"/>
    </w:p>
    <w:p w:rsidR="001705B2" w:rsidRPr="001705B2" w:rsidRDefault="00CC2A4F" w:rsidP="007F1711">
      <w:pPr>
        <w:spacing w:after="390"/>
        <w:rPr>
          <w:rFonts w:ascii="Times New Roman" w:eastAsia="Times New Roman" w:hAnsi="Times New Roman" w:cs="Times New Roman"/>
          <w:b/>
          <w:color w:val="333333"/>
          <w:sz w:val="28"/>
          <w:szCs w:val="28"/>
          <w:u w:val="single"/>
        </w:rPr>
      </w:pPr>
      <w:r w:rsidRPr="001705B2">
        <w:rPr>
          <w:rFonts w:ascii="Times New Roman" w:eastAsia="Times New Roman" w:hAnsi="Times New Roman" w:cs="Times New Roman"/>
          <w:b/>
          <w:color w:val="333333"/>
          <w:sz w:val="28"/>
          <w:szCs w:val="28"/>
          <w:u w:val="single"/>
        </w:rPr>
        <w:t xml:space="preserve">OEIS National Registry </w:t>
      </w:r>
      <w:r w:rsidR="001705B2">
        <w:rPr>
          <w:rFonts w:ascii="Times New Roman" w:eastAsia="Times New Roman" w:hAnsi="Times New Roman" w:cs="Times New Roman"/>
          <w:b/>
          <w:color w:val="333333"/>
          <w:sz w:val="28"/>
          <w:szCs w:val="28"/>
          <w:u w:val="single"/>
        </w:rPr>
        <w:br/>
      </w:r>
      <w:r w:rsidR="001705B2" w:rsidRPr="001705B2">
        <w:rPr>
          <w:rFonts w:ascii="Times New Roman" w:eastAsia="Times New Roman" w:hAnsi="Times New Roman" w:cs="Times New Roman"/>
          <w:b/>
          <w:color w:val="333333"/>
          <w:sz w:val="28"/>
          <w:szCs w:val="28"/>
          <w:u w:val="single"/>
        </w:rPr>
        <w:t>2017 MIPS Quality Reporting Information</w:t>
      </w:r>
    </w:p>
    <w:p w:rsidR="007F1711" w:rsidRPr="009E20A1" w:rsidRDefault="0011490F" w:rsidP="00FD587C">
      <w:pPr>
        <w:spacing w:after="390"/>
        <w:rPr>
          <w:rFonts w:ascii="Times New Roman" w:eastAsia="Times New Roman" w:hAnsi="Times New Roman" w:cs="Times New Roman"/>
          <w:color w:val="333333"/>
        </w:rPr>
      </w:pPr>
      <w:r w:rsidRPr="001705B2">
        <w:rPr>
          <w:rFonts w:ascii="Times New Roman" w:eastAsia="Times New Roman" w:hAnsi="Times New Roman" w:cs="Times New Roman"/>
          <w:b/>
          <w:color w:val="333333"/>
          <w:sz w:val="28"/>
          <w:szCs w:val="28"/>
          <w:u w:val="single"/>
        </w:rPr>
        <w:t>Quality Measures Selection Information</w:t>
      </w:r>
      <w:r w:rsidR="001705B2">
        <w:rPr>
          <w:rFonts w:ascii="Times New Roman" w:eastAsia="Times New Roman" w:hAnsi="Times New Roman" w:cs="Times New Roman"/>
          <w:b/>
          <w:color w:val="333333"/>
          <w:sz w:val="28"/>
          <w:szCs w:val="28"/>
          <w:u w:val="single"/>
        </w:rPr>
        <w:br/>
      </w:r>
      <w:r w:rsidR="007F1711" w:rsidRPr="007541DD">
        <w:rPr>
          <w:rFonts w:ascii="Times New Roman" w:eastAsia="Times New Roman" w:hAnsi="Times New Roman" w:cs="Times New Roman"/>
          <w:color w:val="333333"/>
        </w:rPr>
        <w:t>Please note that t</w:t>
      </w:r>
      <w:r w:rsidR="007F1711" w:rsidRPr="009E20A1">
        <w:rPr>
          <w:rFonts w:ascii="Times New Roman" w:eastAsia="Times New Roman" w:hAnsi="Times New Roman" w:cs="Times New Roman"/>
          <w:color w:val="333333"/>
        </w:rPr>
        <w:t>here are two different categories of quality measures: MIPS measures and QCDR measures. Both can be used for MIPS rep</w:t>
      </w:r>
      <w:r w:rsidR="007F1711" w:rsidRPr="007541DD">
        <w:rPr>
          <w:rFonts w:ascii="Times New Roman" w:eastAsia="Times New Roman" w:hAnsi="Times New Roman" w:cs="Times New Roman"/>
          <w:color w:val="333333"/>
        </w:rPr>
        <w:t>orting.</w:t>
      </w:r>
    </w:p>
    <w:p w:rsidR="00E8412D" w:rsidRPr="007541DD" w:rsidRDefault="00AD08F9" w:rsidP="00FD587C">
      <w:pPr>
        <w:numPr>
          <w:ilvl w:val="0"/>
          <w:numId w:val="10"/>
        </w:numPr>
        <w:spacing w:before="100" w:beforeAutospacing="1" w:after="100" w:afterAutospacing="1"/>
        <w:rPr>
          <w:rFonts w:ascii="Times New Roman" w:eastAsia="Times New Roman" w:hAnsi="Times New Roman" w:cs="Times New Roman"/>
          <w:color w:val="333333"/>
        </w:rPr>
      </w:pPr>
      <w:r w:rsidRPr="007541DD">
        <w:rPr>
          <w:rFonts w:ascii="Times New Roman" w:eastAsia="Times New Roman" w:hAnsi="Times New Roman" w:cs="Times New Roman"/>
          <w:b/>
          <w:color w:val="333333"/>
          <w:u w:val="single"/>
        </w:rPr>
        <w:t>MIPS Measure</w:t>
      </w:r>
      <w:r w:rsidRPr="007541DD">
        <w:rPr>
          <w:rFonts w:ascii="Times New Roman" w:eastAsia="Times New Roman" w:hAnsi="Times New Roman" w:cs="Times New Roman"/>
          <w:color w:val="333333"/>
        </w:rPr>
        <w:t xml:space="preserve"> </w:t>
      </w:r>
      <w:r w:rsidR="007F1711" w:rsidRPr="009E20A1">
        <w:rPr>
          <w:rFonts w:ascii="Times New Roman" w:eastAsia="Times New Roman" w:hAnsi="Times New Roman" w:cs="Times New Roman"/>
          <w:color w:val="333333"/>
        </w:rPr>
        <w:t>are measures that are approved by CMS to be included in the QPP. Any eligible clinician is able to select these measures for use in MIPS.</w:t>
      </w:r>
      <w:r w:rsidR="007F1711" w:rsidRPr="007541DD">
        <w:rPr>
          <w:rFonts w:ascii="Times New Roman" w:eastAsia="Times New Roman" w:hAnsi="Times New Roman" w:cs="Times New Roman"/>
          <w:color w:val="333333"/>
        </w:rPr>
        <w:t xml:space="preserve"> MIPS Mea</w:t>
      </w:r>
      <w:r w:rsidR="00E8412D" w:rsidRPr="007541DD">
        <w:rPr>
          <w:rFonts w:ascii="Times New Roman" w:eastAsia="Times New Roman" w:hAnsi="Times New Roman" w:cs="Times New Roman"/>
          <w:color w:val="333333"/>
        </w:rPr>
        <w:t>sures offered by OEIS NR Include:</w:t>
      </w:r>
    </w:p>
    <w:p w:rsidR="00E8412D" w:rsidRPr="007541DD" w:rsidRDefault="007F1711" w:rsidP="00E8412D">
      <w:pPr>
        <w:numPr>
          <w:ilvl w:val="1"/>
          <w:numId w:val="10"/>
        </w:numPr>
        <w:spacing w:before="100" w:beforeAutospacing="1" w:after="100" w:afterAutospacing="1"/>
        <w:rPr>
          <w:rFonts w:ascii="Times New Roman" w:eastAsia="Times New Roman" w:hAnsi="Times New Roman" w:cs="Times New Roman"/>
          <w:color w:val="333333"/>
        </w:rPr>
      </w:pPr>
      <w:r w:rsidRPr="00FD587C">
        <w:rPr>
          <w:rFonts w:ascii="Times New Roman" w:eastAsia="Times New Roman" w:hAnsi="Times New Roman" w:cs="Times New Roman"/>
          <w:b/>
          <w:color w:val="333333"/>
        </w:rPr>
        <w:t>QM110</w:t>
      </w:r>
      <w:r w:rsidR="00E8412D" w:rsidRPr="007541DD">
        <w:rPr>
          <w:rFonts w:ascii="Times New Roman" w:eastAsia="Times New Roman" w:hAnsi="Times New Roman" w:cs="Times New Roman"/>
          <w:color w:val="333333"/>
        </w:rPr>
        <w:t>: Preventive Care and Screening for Influenza Immunization</w:t>
      </w:r>
      <w:r w:rsidRPr="007541DD">
        <w:rPr>
          <w:rFonts w:ascii="Times New Roman" w:eastAsia="Times New Roman" w:hAnsi="Times New Roman" w:cs="Times New Roman"/>
          <w:color w:val="333333"/>
        </w:rPr>
        <w:t xml:space="preserve"> </w:t>
      </w:r>
    </w:p>
    <w:p w:rsidR="00E8412D" w:rsidRPr="007541DD" w:rsidRDefault="007F1711" w:rsidP="00E8412D">
      <w:pPr>
        <w:numPr>
          <w:ilvl w:val="1"/>
          <w:numId w:val="10"/>
        </w:numPr>
        <w:spacing w:before="100" w:beforeAutospacing="1" w:after="100" w:afterAutospacing="1"/>
        <w:rPr>
          <w:rFonts w:ascii="Times New Roman" w:eastAsia="Times New Roman" w:hAnsi="Times New Roman" w:cs="Times New Roman"/>
          <w:color w:val="333333"/>
        </w:rPr>
      </w:pPr>
      <w:r w:rsidRPr="00FD587C">
        <w:rPr>
          <w:rFonts w:ascii="Times New Roman" w:eastAsia="Times New Roman" w:hAnsi="Times New Roman" w:cs="Times New Roman"/>
          <w:b/>
          <w:color w:val="333333"/>
        </w:rPr>
        <w:t>QM111</w:t>
      </w:r>
      <w:r w:rsidR="00E8412D" w:rsidRPr="007541DD">
        <w:rPr>
          <w:rFonts w:ascii="Times New Roman" w:eastAsia="Times New Roman" w:hAnsi="Times New Roman" w:cs="Times New Roman"/>
          <w:color w:val="333333"/>
        </w:rPr>
        <w:t>: Pneumococcal Vaccination Status for Older Adults</w:t>
      </w:r>
    </w:p>
    <w:p w:rsidR="007F1711" w:rsidRPr="009E20A1" w:rsidRDefault="00E8412D" w:rsidP="00E8412D">
      <w:pPr>
        <w:numPr>
          <w:ilvl w:val="1"/>
          <w:numId w:val="10"/>
        </w:numPr>
        <w:spacing w:before="100" w:beforeAutospacing="1" w:after="100" w:afterAutospacing="1"/>
        <w:rPr>
          <w:rFonts w:ascii="Times New Roman" w:eastAsia="Times New Roman" w:hAnsi="Times New Roman" w:cs="Times New Roman"/>
          <w:color w:val="333333"/>
        </w:rPr>
      </w:pPr>
      <w:r w:rsidRPr="00FD587C">
        <w:rPr>
          <w:rFonts w:ascii="Times New Roman" w:eastAsia="Times New Roman" w:hAnsi="Times New Roman" w:cs="Times New Roman"/>
          <w:b/>
          <w:color w:val="333333"/>
        </w:rPr>
        <w:t>QM226</w:t>
      </w:r>
      <w:r w:rsidRPr="007541DD">
        <w:rPr>
          <w:rFonts w:ascii="Times New Roman" w:eastAsia="Times New Roman" w:hAnsi="Times New Roman" w:cs="Times New Roman"/>
          <w:color w:val="333333"/>
        </w:rPr>
        <w:t>: Tobacco Use: Screening and Cessation</w:t>
      </w:r>
    </w:p>
    <w:p w:rsidR="00E8412D" w:rsidRPr="007541DD" w:rsidRDefault="00AD08F9" w:rsidP="00761A26">
      <w:pPr>
        <w:numPr>
          <w:ilvl w:val="0"/>
          <w:numId w:val="10"/>
        </w:numPr>
        <w:spacing w:before="100" w:beforeAutospacing="1" w:after="100" w:afterAutospacing="1"/>
        <w:rPr>
          <w:rFonts w:ascii="Times New Roman" w:eastAsia="Times New Roman" w:hAnsi="Times New Roman" w:cs="Times New Roman"/>
          <w:color w:val="333333"/>
        </w:rPr>
      </w:pPr>
      <w:r w:rsidRPr="007541DD">
        <w:rPr>
          <w:rFonts w:ascii="Times New Roman" w:eastAsia="Times New Roman" w:hAnsi="Times New Roman" w:cs="Times New Roman"/>
          <w:b/>
          <w:color w:val="333333"/>
          <w:u w:val="single"/>
        </w:rPr>
        <w:t>QCDR Measures</w:t>
      </w:r>
      <w:r w:rsidRPr="007541DD">
        <w:rPr>
          <w:rFonts w:ascii="Times New Roman" w:eastAsia="Times New Roman" w:hAnsi="Times New Roman" w:cs="Times New Roman"/>
          <w:color w:val="333333"/>
        </w:rPr>
        <w:t xml:space="preserve"> </w:t>
      </w:r>
      <w:r w:rsidR="007F1711" w:rsidRPr="009E20A1">
        <w:rPr>
          <w:rFonts w:ascii="Times New Roman" w:eastAsia="Times New Roman" w:hAnsi="Times New Roman" w:cs="Times New Roman"/>
          <w:color w:val="333333"/>
        </w:rPr>
        <w:t>are measures that a medical specialty society creates and are approved by CMS for reporting in MIPS. QCDR measures can only be reported on if you report through the QCDR that owns/lice</w:t>
      </w:r>
      <w:r w:rsidR="007F1711" w:rsidRPr="007541DD">
        <w:rPr>
          <w:rFonts w:ascii="Times New Roman" w:eastAsia="Times New Roman" w:hAnsi="Times New Roman" w:cs="Times New Roman"/>
          <w:color w:val="333333"/>
        </w:rPr>
        <w:t>n</w:t>
      </w:r>
      <w:r w:rsidR="0090444C" w:rsidRPr="007541DD">
        <w:rPr>
          <w:rFonts w:ascii="Times New Roman" w:eastAsia="Times New Roman" w:hAnsi="Times New Roman" w:cs="Times New Roman"/>
          <w:color w:val="333333"/>
        </w:rPr>
        <w:t xml:space="preserve">ses those measures. QCDR measures offered by </w:t>
      </w:r>
      <w:r w:rsidR="007F1711" w:rsidRPr="007541DD">
        <w:rPr>
          <w:rFonts w:ascii="Times New Roman" w:eastAsia="Times New Roman" w:hAnsi="Times New Roman" w:cs="Times New Roman"/>
          <w:color w:val="333333"/>
        </w:rPr>
        <w:t>OEIS</w:t>
      </w:r>
      <w:r w:rsidR="0090444C" w:rsidRPr="007541DD">
        <w:rPr>
          <w:rFonts w:ascii="Times New Roman" w:eastAsia="Times New Roman" w:hAnsi="Times New Roman" w:cs="Times New Roman"/>
          <w:color w:val="333333"/>
        </w:rPr>
        <w:t xml:space="preserve"> </w:t>
      </w:r>
      <w:r w:rsidR="007F1711" w:rsidRPr="007541DD">
        <w:rPr>
          <w:rFonts w:ascii="Times New Roman" w:eastAsia="Times New Roman" w:hAnsi="Times New Roman" w:cs="Times New Roman"/>
          <w:color w:val="333333"/>
        </w:rPr>
        <w:t>NR</w:t>
      </w:r>
      <w:r w:rsidR="00E8412D" w:rsidRPr="007541DD">
        <w:rPr>
          <w:rFonts w:ascii="Times New Roman" w:eastAsia="Times New Roman" w:hAnsi="Times New Roman" w:cs="Times New Roman"/>
          <w:color w:val="333333"/>
        </w:rPr>
        <w:t xml:space="preserve"> for 2017 include:</w:t>
      </w:r>
    </w:p>
    <w:p w:rsidR="00E8412D" w:rsidRPr="007541DD" w:rsidRDefault="00FD587C" w:rsidP="00E8412D">
      <w:pPr>
        <w:numPr>
          <w:ilvl w:val="1"/>
          <w:numId w:val="10"/>
        </w:numPr>
        <w:spacing w:before="100" w:beforeAutospacing="1" w:after="100" w:afterAutospacing="1"/>
        <w:rPr>
          <w:rFonts w:ascii="Times New Roman" w:eastAsia="Times New Roman" w:hAnsi="Times New Roman" w:cs="Times New Roman"/>
          <w:color w:val="333333"/>
        </w:rPr>
      </w:pPr>
      <w:r>
        <w:rPr>
          <w:rFonts w:ascii="Times New Roman" w:eastAsia="Times New Roman" w:hAnsi="Times New Roman" w:cs="Times New Roman"/>
          <w:b/>
          <w:color w:val="333333"/>
        </w:rPr>
        <w:t xml:space="preserve"> </w:t>
      </w:r>
      <w:r w:rsidR="00E8412D" w:rsidRPr="001705B2">
        <w:rPr>
          <w:rFonts w:ascii="Times New Roman" w:eastAsia="Times New Roman" w:hAnsi="Times New Roman" w:cs="Times New Roman"/>
          <w:b/>
          <w:color w:val="333333"/>
        </w:rPr>
        <w:t>OEIS1</w:t>
      </w:r>
      <w:r w:rsidR="00E8412D" w:rsidRPr="007541DD">
        <w:rPr>
          <w:rFonts w:ascii="Times New Roman" w:eastAsia="Times New Roman" w:hAnsi="Times New Roman" w:cs="Times New Roman"/>
          <w:color w:val="333333"/>
        </w:rPr>
        <w:t>: Optimal Vascular Care Composite Measure</w:t>
      </w:r>
    </w:p>
    <w:p w:rsidR="00E8412D" w:rsidRPr="007541DD" w:rsidRDefault="001705B2" w:rsidP="00E8412D">
      <w:pPr>
        <w:numPr>
          <w:ilvl w:val="1"/>
          <w:numId w:val="10"/>
        </w:numPr>
        <w:spacing w:before="100" w:beforeAutospacing="1" w:after="100" w:afterAutospacing="1"/>
        <w:rPr>
          <w:rFonts w:ascii="Times New Roman" w:eastAsia="Times New Roman" w:hAnsi="Times New Roman" w:cs="Times New Roman"/>
          <w:color w:val="333333"/>
        </w:rPr>
      </w:pPr>
      <w:r>
        <w:rPr>
          <w:rFonts w:ascii="Times New Roman" w:eastAsia="Times New Roman" w:hAnsi="Times New Roman" w:cs="Times New Roman"/>
          <w:color w:val="333333"/>
        </w:rPr>
        <w:t>*</w:t>
      </w:r>
      <w:r w:rsidR="00E8412D" w:rsidRPr="001705B2">
        <w:rPr>
          <w:rFonts w:ascii="Times New Roman" w:eastAsia="Times New Roman" w:hAnsi="Times New Roman" w:cs="Times New Roman"/>
          <w:b/>
          <w:color w:val="333333"/>
        </w:rPr>
        <w:t>OEIS2</w:t>
      </w:r>
      <w:r w:rsidR="00E8412D" w:rsidRPr="007541DD">
        <w:rPr>
          <w:rFonts w:ascii="Times New Roman" w:eastAsia="Times New Roman" w:hAnsi="Times New Roman" w:cs="Times New Roman"/>
          <w:color w:val="333333"/>
        </w:rPr>
        <w:t>: Emergent transfer from an Outpatient, ASC, or Office Setting to an Acute Care Facility as result of Peripheral Vascular Intervention</w:t>
      </w:r>
      <w:r>
        <w:rPr>
          <w:rFonts w:ascii="Times New Roman" w:eastAsia="Times New Roman" w:hAnsi="Times New Roman" w:cs="Times New Roman"/>
          <w:color w:val="333333"/>
        </w:rPr>
        <w:t xml:space="preserve"> (*Outcomes measure)</w:t>
      </w:r>
    </w:p>
    <w:p w:rsidR="00E8412D" w:rsidRPr="007541DD" w:rsidRDefault="00FD587C" w:rsidP="00E8412D">
      <w:pPr>
        <w:numPr>
          <w:ilvl w:val="1"/>
          <w:numId w:val="10"/>
        </w:numPr>
        <w:spacing w:before="100" w:beforeAutospacing="1" w:after="100" w:afterAutospacing="1"/>
        <w:rPr>
          <w:rFonts w:ascii="Times New Roman" w:eastAsia="Times New Roman" w:hAnsi="Times New Roman" w:cs="Times New Roman"/>
          <w:color w:val="333333"/>
        </w:rPr>
      </w:pPr>
      <w:r>
        <w:rPr>
          <w:rFonts w:ascii="Times New Roman" w:eastAsia="Times New Roman" w:hAnsi="Times New Roman" w:cs="Times New Roman"/>
          <w:b/>
          <w:color w:val="333333"/>
        </w:rPr>
        <w:t xml:space="preserve"> </w:t>
      </w:r>
      <w:r w:rsidR="00E8412D" w:rsidRPr="001705B2">
        <w:rPr>
          <w:rFonts w:ascii="Times New Roman" w:eastAsia="Times New Roman" w:hAnsi="Times New Roman" w:cs="Times New Roman"/>
          <w:b/>
          <w:color w:val="333333"/>
        </w:rPr>
        <w:t>OEIS3</w:t>
      </w:r>
      <w:r w:rsidR="00E8412D" w:rsidRPr="007541DD">
        <w:rPr>
          <w:rFonts w:ascii="Times New Roman" w:eastAsia="Times New Roman" w:hAnsi="Times New Roman" w:cs="Times New Roman"/>
          <w:color w:val="333333"/>
        </w:rPr>
        <w:t>: Antiplatelet Medications for Patients with PAD</w:t>
      </w:r>
    </w:p>
    <w:p w:rsidR="00E8412D" w:rsidRPr="007541DD" w:rsidRDefault="00FD587C" w:rsidP="00E8412D">
      <w:pPr>
        <w:numPr>
          <w:ilvl w:val="1"/>
          <w:numId w:val="10"/>
        </w:numPr>
        <w:spacing w:before="100" w:beforeAutospacing="1" w:after="100" w:afterAutospacing="1"/>
        <w:rPr>
          <w:rFonts w:ascii="Times New Roman" w:eastAsia="Times New Roman" w:hAnsi="Times New Roman" w:cs="Times New Roman"/>
          <w:color w:val="333333"/>
        </w:rPr>
      </w:pPr>
      <w:r>
        <w:rPr>
          <w:rFonts w:ascii="Times New Roman" w:eastAsia="Times New Roman" w:hAnsi="Times New Roman" w:cs="Times New Roman"/>
          <w:b/>
          <w:color w:val="333333"/>
        </w:rPr>
        <w:t xml:space="preserve"> </w:t>
      </w:r>
      <w:r w:rsidR="00E8412D" w:rsidRPr="001705B2">
        <w:rPr>
          <w:rFonts w:ascii="Times New Roman" w:eastAsia="Times New Roman" w:hAnsi="Times New Roman" w:cs="Times New Roman"/>
          <w:b/>
          <w:color w:val="333333"/>
        </w:rPr>
        <w:t>OEIS4</w:t>
      </w:r>
      <w:r w:rsidR="00E8412D" w:rsidRPr="007541DD">
        <w:rPr>
          <w:rFonts w:ascii="Times New Roman" w:eastAsia="Times New Roman" w:hAnsi="Times New Roman" w:cs="Times New Roman"/>
          <w:color w:val="333333"/>
        </w:rPr>
        <w:t>: Lipid Lowering Medications for Patients with PAD</w:t>
      </w:r>
    </w:p>
    <w:p w:rsidR="00E8412D" w:rsidRPr="007541DD" w:rsidRDefault="00FD587C" w:rsidP="00E8412D">
      <w:pPr>
        <w:numPr>
          <w:ilvl w:val="1"/>
          <w:numId w:val="10"/>
        </w:numPr>
        <w:spacing w:before="100" w:beforeAutospacing="1" w:after="100" w:afterAutospacing="1"/>
        <w:rPr>
          <w:rFonts w:ascii="Times New Roman" w:eastAsia="Times New Roman" w:hAnsi="Times New Roman" w:cs="Times New Roman"/>
          <w:color w:val="333333"/>
        </w:rPr>
      </w:pPr>
      <w:r>
        <w:rPr>
          <w:rFonts w:ascii="Times New Roman" w:eastAsia="Times New Roman" w:hAnsi="Times New Roman" w:cs="Times New Roman"/>
          <w:b/>
          <w:color w:val="333333"/>
        </w:rPr>
        <w:t xml:space="preserve"> </w:t>
      </w:r>
      <w:r w:rsidR="00E8412D" w:rsidRPr="001705B2">
        <w:rPr>
          <w:rFonts w:ascii="Times New Roman" w:eastAsia="Times New Roman" w:hAnsi="Times New Roman" w:cs="Times New Roman"/>
          <w:b/>
          <w:color w:val="333333"/>
        </w:rPr>
        <w:t>OEIS5</w:t>
      </w:r>
      <w:r w:rsidR="00E8412D" w:rsidRPr="007541DD">
        <w:rPr>
          <w:rFonts w:ascii="Times New Roman" w:eastAsia="Times New Roman" w:hAnsi="Times New Roman" w:cs="Times New Roman"/>
          <w:color w:val="333333"/>
        </w:rPr>
        <w:t>: Appropriate Noninvasive Testing for Patients with CLI undergoing a LE Peripheral Vascular Intervention</w:t>
      </w:r>
    </w:p>
    <w:p w:rsidR="00E8412D" w:rsidRPr="007541DD" w:rsidRDefault="00FD587C" w:rsidP="00E8412D">
      <w:pPr>
        <w:numPr>
          <w:ilvl w:val="1"/>
          <w:numId w:val="10"/>
        </w:numPr>
        <w:spacing w:before="100" w:beforeAutospacing="1" w:after="100" w:afterAutospacing="1"/>
        <w:rPr>
          <w:rFonts w:ascii="Times New Roman" w:eastAsia="Times New Roman" w:hAnsi="Times New Roman" w:cs="Times New Roman"/>
          <w:color w:val="333333"/>
        </w:rPr>
      </w:pPr>
      <w:r>
        <w:rPr>
          <w:rFonts w:ascii="Times New Roman" w:eastAsia="Times New Roman" w:hAnsi="Times New Roman" w:cs="Times New Roman"/>
          <w:b/>
          <w:color w:val="333333"/>
        </w:rPr>
        <w:t xml:space="preserve"> </w:t>
      </w:r>
      <w:r w:rsidR="00E8412D" w:rsidRPr="001705B2">
        <w:rPr>
          <w:rFonts w:ascii="Times New Roman" w:eastAsia="Times New Roman" w:hAnsi="Times New Roman" w:cs="Times New Roman"/>
          <w:b/>
          <w:color w:val="333333"/>
        </w:rPr>
        <w:t>OEIS6</w:t>
      </w:r>
      <w:r w:rsidR="00E8412D" w:rsidRPr="007541DD">
        <w:rPr>
          <w:rFonts w:ascii="Times New Roman" w:eastAsia="Times New Roman" w:hAnsi="Times New Roman" w:cs="Times New Roman"/>
          <w:color w:val="333333"/>
        </w:rPr>
        <w:t>: Appropriate Noninvasive Testing for Patients with Intermittent Claudication for Patients who are undergoing a LE Peripheral Vascular Intervention</w:t>
      </w:r>
    </w:p>
    <w:p w:rsidR="00FD587C" w:rsidRDefault="00E8412D" w:rsidP="00FD587C">
      <w:pPr>
        <w:spacing w:before="100" w:beforeAutospacing="1" w:after="100" w:afterAutospacing="1"/>
        <w:ind w:left="1080"/>
        <w:rPr>
          <w:rFonts w:ascii="Times New Roman" w:hAnsi="Times New Roman" w:cs="Times New Roman"/>
          <w:b/>
          <w:color w:val="000000" w:themeColor="text1"/>
          <w:sz w:val="28"/>
          <w:szCs w:val="28"/>
          <w:u w:val="single"/>
        </w:rPr>
      </w:pPr>
      <w:r w:rsidRPr="007541DD">
        <w:rPr>
          <w:rFonts w:ascii="Times New Roman" w:eastAsia="Times New Roman" w:hAnsi="Times New Roman" w:cs="Times New Roman"/>
          <w:b/>
          <w:color w:val="333333"/>
          <w:u w:val="single"/>
        </w:rPr>
        <w:t>*</w:t>
      </w:r>
      <w:r w:rsidR="0090444C" w:rsidRPr="007541DD">
        <w:rPr>
          <w:rFonts w:ascii="Times New Roman" w:eastAsia="Times New Roman" w:hAnsi="Times New Roman" w:cs="Times New Roman"/>
          <w:b/>
          <w:color w:val="333333"/>
          <w:u w:val="single"/>
        </w:rPr>
        <w:t xml:space="preserve">Please note these </w:t>
      </w:r>
      <w:r w:rsidRPr="007541DD">
        <w:rPr>
          <w:rFonts w:ascii="Times New Roman" w:eastAsia="Times New Roman" w:hAnsi="Times New Roman" w:cs="Times New Roman"/>
          <w:b/>
          <w:color w:val="333333"/>
          <w:u w:val="single"/>
        </w:rPr>
        <w:t xml:space="preserve">QCDR </w:t>
      </w:r>
      <w:r w:rsidR="0090444C" w:rsidRPr="007541DD">
        <w:rPr>
          <w:rFonts w:ascii="Times New Roman" w:eastAsia="Times New Roman" w:hAnsi="Times New Roman" w:cs="Times New Roman"/>
          <w:b/>
          <w:color w:val="333333"/>
          <w:u w:val="single"/>
        </w:rPr>
        <w:t>are new measures for 2017, and do not have established benchmarks</w:t>
      </w:r>
      <w:r w:rsidRPr="007541DD">
        <w:rPr>
          <w:rFonts w:ascii="Times New Roman" w:eastAsia="Times New Roman" w:hAnsi="Times New Roman" w:cs="Times New Roman"/>
          <w:color w:val="333333"/>
        </w:rPr>
        <w:t>.</w:t>
      </w:r>
      <w:r w:rsidR="0090444C" w:rsidRPr="007541DD">
        <w:rPr>
          <w:rFonts w:ascii="Times New Roman" w:eastAsia="Times New Roman" w:hAnsi="Times New Roman" w:cs="Times New Roman"/>
          <w:color w:val="333333"/>
        </w:rPr>
        <w:t xml:space="preserve"> If enough data is submitted to meet the minimum threshold</w:t>
      </w:r>
      <w:r w:rsidRPr="007541DD">
        <w:rPr>
          <w:rFonts w:ascii="Times New Roman" w:eastAsia="Times New Roman" w:hAnsi="Times New Roman" w:cs="Times New Roman"/>
          <w:color w:val="333333"/>
        </w:rPr>
        <w:t xml:space="preserve"> (see “Quality Scoring” below for details)</w:t>
      </w:r>
      <w:r w:rsidR="0090444C" w:rsidRPr="007541DD">
        <w:rPr>
          <w:rFonts w:ascii="Times New Roman" w:eastAsia="Times New Roman" w:hAnsi="Times New Roman" w:cs="Times New Roman"/>
          <w:color w:val="333333"/>
        </w:rPr>
        <w:t xml:space="preserve">, CMS can create benchmarks for 2017, and final performance scores will reflect these benchmarks.  If the minimum threshold is not met for a given measure, a maximum of 3 points are available.  </w:t>
      </w:r>
    </w:p>
    <w:p w:rsidR="00E330E4" w:rsidRPr="00FD587C" w:rsidRDefault="00FD587C" w:rsidP="00FD587C">
      <w:pPr>
        <w:spacing w:before="100" w:beforeAutospacing="1" w:after="100" w:afterAutospacing="1"/>
        <w:rPr>
          <w:rStyle w:val="apple-converted-space"/>
          <w:rFonts w:ascii="Times New Roman" w:hAnsi="Times New Roman" w:cs="Times New Roman"/>
          <w:b/>
          <w:color w:val="000000" w:themeColor="text1"/>
          <w:sz w:val="28"/>
          <w:szCs w:val="28"/>
          <w:u w:val="single"/>
        </w:rPr>
      </w:pPr>
      <w:r>
        <w:rPr>
          <w:rFonts w:ascii="Times New Roman" w:hAnsi="Times New Roman" w:cs="Times New Roman"/>
          <w:b/>
          <w:color w:val="000000" w:themeColor="text1"/>
          <w:sz w:val="28"/>
          <w:szCs w:val="28"/>
          <w:u w:val="single"/>
        </w:rPr>
        <w:br/>
      </w:r>
      <w:r w:rsidR="00E330E4" w:rsidRPr="001705B2">
        <w:rPr>
          <w:rFonts w:ascii="Times New Roman" w:hAnsi="Times New Roman" w:cs="Times New Roman"/>
          <w:b/>
          <w:color w:val="000000" w:themeColor="text1"/>
          <w:sz w:val="28"/>
          <w:szCs w:val="28"/>
          <w:u w:val="single"/>
        </w:rPr>
        <w:t>Quality Scoring</w:t>
      </w:r>
      <w:r>
        <w:rPr>
          <w:rFonts w:ascii="Times New Roman" w:hAnsi="Times New Roman" w:cs="Times New Roman"/>
          <w:b/>
          <w:color w:val="000000" w:themeColor="text1"/>
          <w:sz w:val="28"/>
          <w:szCs w:val="28"/>
          <w:u w:val="single"/>
        </w:rPr>
        <w:br/>
      </w:r>
      <w:r w:rsidR="00E330E4" w:rsidRPr="007541DD">
        <w:rPr>
          <w:rFonts w:ascii="Times New Roman" w:hAnsi="Times New Roman" w:cs="Times New Roman"/>
          <w:b/>
          <w:bCs/>
          <w:color w:val="333333"/>
        </w:rPr>
        <w:t>Base</w:t>
      </w:r>
      <w:r w:rsidR="00623275" w:rsidRPr="007541DD">
        <w:rPr>
          <w:rFonts w:ascii="Times New Roman" w:hAnsi="Times New Roman" w:cs="Times New Roman"/>
          <w:b/>
          <w:bCs/>
          <w:color w:val="333333"/>
        </w:rPr>
        <w:t>d on your performance, you will receive</w:t>
      </w:r>
      <w:r w:rsidR="00100C8C" w:rsidRPr="007541DD">
        <w:rPr>
          <w:rFonts w:ascii="Times New Roman" w:hAnsi="Times New Roman" w:cs="Times New Roman"/>
          <w:b/>
          <w:bCs/>
          <w:color w:val="333333"/>
        </w:rPr>
        <w:t xml:space="preserve"> anywhere from 3 to 10 measure points for each Quality M</w:t>
      </w:r>
      <w:r w:rsidR="00E330E4" w:rsidRPr="007541DD">
        <w:rPr>
          <w:rFonts w:ascii="Times New Roman" w:hAnsi="Times New Roman" w:cs="Times New Roman"/>
          <w:b/>
          <w:bCs/>
          <w:color w:val="333333"/>
        </w:rPr>
        <w:t>easure you submit if the measure can be</w:t>
      </w:r>
      <w:r w:rsidR="00E330E4" w:rsidRPr="007541DD">
        <w:rPr>
          <w:rStyle w:val="apple-converted-space"/>
          <w:rFonts w:ascii="Times New Roman" w:hAnsi="Times New Roman" w:cs="Times New Roman"/>
          <w:b/>
          <w:bCs/>
          <w:color w:val="333333"/>
        </w:rPr>
        <w:t> </w:t>
      </w:r>
      <w:r w:rsidR="00100C8C" w:rsidRPr="007541DD">
        <w:rPr>
          <w:rStyle w:val="apple-converted-space"/>
          <w:rFonts w:ascii="Times New Roman" w:hAnsi="Times New Roman" w:cs="Times New Roman"/>
          <w:bCs/>
          <w:color w:val="333333"/>
          <w:u w:val="single"/>
        </w:rPr>
        <w:t>reliably scored against a benchmark</w:t>
      </w:r>
      <w:r w:rsidR="00100C8C" w:rsidRPr="007541DD">
        <w:rPr>
          <w:rStyle w:val="apple-converted-space"/>
          <w:rFonts w:ascii="Times New Roman" w:hAnsi="Times New Roman" w:cs="Times New Roman"/>
          <w:b/>
          <w:bCs/>
          <w:color w:val="333333"/>
        </w:rPr>
        <w:t xml:space="preserve">.  </w:t>
      </w:r>
    </w:p>
    <w:p w:rsidR="00AD08F9" w:rsidRPr="007541DD" w:rsidRDefault="001705B2" w:rsidP="00AD08F9">
      <w:pPr>
        <w:pStyle w:val="Heading3"/>
        <w:spacing w:before="0" w:beforeAutospacing="0" w:after="0" w:afterAutospacing="0"/>
        <w:ind w:left="720"/>
        <w:rPr>
          <w:rStyle w:val="apple-converted-space"/>
          <w:b w:val="0"/>
          <w:bCs w:val="0"/>
          <w:color w:val="333333"/>
          <w:sz w:val="24"/>
          <w:szCs w:val="24"/>
        </w:rPr>
      </w:pPr>
      <w:r>
        <w:rPr>
          <w:rStyle w:val="apple-converted-space"/>
          <w:b w:val="0"/>
          <w:bCs w:val="0"/>
          <w:color w:val="333333"/>
          <w:sz w:val="24"/>
          <w:szCs w:val="24"/>
        </w:rPr>
        <w:t>*</w:t>
      </w:r>
      <w:r w:rsidR="00AD08F9" w:rsidRPr="007541DD">
        <w:rPr>
          <w:rStyle w:val="apple-converted-space"/>
          <w:bCs w:val="0"/>
          <w:color w:val="333333"/>
          <w:sz w:val="24"/>
          <w:szCs w:val="24"/>
          <w:u w:val="single"/>
        </w:rPr>
        <w:t>Reliably scored</w:t>
      </w:r>
      <w:r w:rsidR="00AD08F9" w:rsidRPr="007541DD">
        <w:rPr>
          <w:rStyle w:val="apple-converted-space"/>
          <w:b w:val="0"/>
          <w:bCs w:val="0"/>
          <w:color w:val="333333"/>
          <w:sz w:val="24"/>
          <w:szCs w:val="24"/>
        </w:rPr>
        <w:t xml:space="preserve"> means that:</w:t>
      </w:r>
    </w:p>
    <w:p w:rsidR="00AD08F9" w:rsidRPr="007541DD" w:rsidRDefault="00AD08F9" w:rsidP="00E330E4">
      <w:pPr>
        <w:pStyle w:val="Heading3"/>
        <w:numPr>
          <w:ilvl w:val="0"/>
          <w:numId w:val="15"/>
        </w:numPr>
        <w:spacing w:before="0" w:beforeAutospacing="0" w:after="0" w:afterAutospacing="0"/>
        <w:rPr>
          <w:rStyle w:val="apple-converted-space"/>
          <w:b w:val="0"/>
          <w:bCs w:val="0"/>
          <w:color w:val="333333"/>
          <w:sz w:val="24"/>
          <w:szCs w:val="24"/>
        </w:rPr>
      </w:pPr>
      <w:r w:rsidRPr="007541DD">
        <w:rPr>
          <w:rStyle w:val="apple-converted-space"/>
          <w:b w:val="0"/>
          <w:bCs w:val="0"/>
          <w:color w:val="333333"/>
          <w:sz w:val="24"/>
          <w:szCs w:val="24"/>
        </w:rPr>
        <w:t>A national benchmark exists</w:t>
      </w:r>
    </w:p>
    <w:p w:rsidR="00AD08F9" w:rsidRPr="007541DD" w:rsidRDefault="00AD08F9" w:rsidP="00E330E4">
      <w:pPr>
        <w:pStyle w:val="Heading3"/>
        <w:numPr>
          <w:ilvl w:val="0"/>
          <w:numId w:val="15"/>
        </w:numPr>
        <w:spacing w:before="0" w:beforeAutospacing="0" w:after="0" w:afterAutospacing="0"/>
        <w:rPr>
          <w:rStyle w:val="apple-converted-space"/>
          <w:b w:val="0"/>
          <w:bCs w:val="0"/>
          <w:color w:val="333333"/>
          <w:sz w:val="24"/>
          <w:szCs w:val="24"/>
        </w:rPr>
      </w:pPr>
      <w:r w:rsidRPr="007541DD">
        <w:rPr>
          <w:rStyle w:val="apple-converted-space"/>
          <w:b w:val="0"/>
          <w:bCs w:val="0"/>
          <w:color w:val="333333"/>
          <w:sz w:val="24"/>
          <w:szCs w:val="24"/>
        </w:rPr>
        <w:t>Case volume threshold is met (&gt;20 cases for most measures)</w:t>
      </w:r>
    </w:p>
    <w:p w:rsidR="00AD08F9" w:rsidRPr="007541DD" w:rsidRDefault="00AD08F9" w:rsidP="00E330E4">
      <w:pPr>
        <w:pStyle w:val="Heading3"/>
        <w:numPr>
          <w:ilvl w:val="0"/>
          <w:numId w:val="15"/>
        </w:numPr>
        <w:spacing w:before="0" w:beforeAutospacing="0" w:after="0" w:afterAutospacing="0"/>
        <w:rPr>
          <w:rStyle w:val="apple-converted-space"/>
          <w:b w:val="0"/>
          <w:bCs w:val="0"/>
          <w:color w:val="333333"/>
          <w:sz w:val="24"/>
          <w:szCs w:val="24"/>
        </w:rPr>
      </w:pPr>
      <w:r w:rsidRPr="007541DD">
        <w:rPr>
          <w:rStyle w:val="apple-converted-space"/>
          <w:b w:val="0"/>
          <w:bCs w:val="0"/>
          <w:color w:val="333333"/>
          <w:sz w:val="24"/>
          <w:szCs w:val="24"/>
        </w:rPr>
        <w:t>At least 50% of eligible data are submitted (Data Completeness Requirement met)</w:t>
      </w:r>
    </w:p>
    <w:p w:rsidR="00AD08F9" w:rsidRPr="001705B2" w:rsidRDefault="00AD08F9" w:rsidP="001705B2">
      <w:pPr>
        <w:spacing w:before="100" w:beforeAutospacing="1" w:after="100" w:afterAutospacing="1"/>
        <w:rPr>
          <w:rFonts w:ascii="Times New Roman" w:hAnsi="Times New Roman" w:cs="Times New Roman"/>
          <w:bCs/>
          <w:color w:val="333333"/>
        </w:rPr>
      </w:pPr>
      <w:r w:rsidRPr="007541DD">
        <w:rPr>
          <w:rStyle w:val="apple-converted-space"/>
          <w:rFonts w:ascii="Times New Roman" w:hAnsi="Times New Roman" w:cs="Times New Roman"/>
          <w:bCs/>
          <w:color w:val="333333"/>
        </w:rPr>
        <w:lastRenderedPageBreak/>
        <w:t>*No</w:t>
      </w:r>
      <w:r w:rsidR="001705B2">
        <w:rPr>
          <w:rStyle w:val="apple-converted-space"/>
          <w:rFonts w:ascii="Times New Roman" w:hAnsi="Times New Roman" w:cs="Times New Roman"/>
          <w:bCs/>
          <w:color w:val="333333"/>
        </w:rPr>
        <w:t xml:space="preserve">t all measures have a </w:t>
      </w:r>
      <w:proofErr w:type="gramStart"/>
      <w:r w:rsidR="001705B2">
        <w:rPr>
          <w:rStyle w:val="apple-converted-space"/>
          <w:rFonts w:ascii="Times New Roman" w:hAnsi="Times New Roman" w:cs="Times New Roman"/>
          <w:bCs/>
          <w:color w:val="333333"/>
        </w:rPr>
        <w:t>benchmark,</w:t>
      </w:r>
      <w:r w:rsidRPr="007541DD">
        <w:rPr>
          <w:rStyle w:val="apple-converted-space"/>
          <w:rFonts w:ascii="Times New Roman" w:hAnsi="Times New Roman" w:cs="Times New Roman"/>
          <w:bCs/>
          <w:color w:val="333333"/>
        </w:rPr>
        <w:t xml:space="preserve"> and</w:t>
      </w:r>
      <w:proofErr w:type="gramEnd"/>
      <w:r w:rsidRPr="007541DD">
        <w:rPr>
          <w:rStyle w:val="apple-converted-space"/>
          <w:rFonts w:ascii="Times New Roman" w:hAnsi="Times New Roman" w:cs="Times New Roman"/>
          <w:bCs/>
          <w:color w:val="333333"/>
        </w:rPr>
        <w:t xml:space="preserve"> may be benchmarked by CMS after the submission period based upon the number of clinicians reporting that allow the above criteria to be met from within the same performance year.  </w:t>
      </w:r>
      <w:r w:rsidRPr="007541DD">
        <w:rPr>
          <w:rStyle w:val="apple-converted-space"/>
          <w:rFonts w:ascii="Times New Roman" w:hAnsi="Times New Roman" w:cs="Times New Roman"/>
          <w:b/>
          <w:bCs/>
          <w:color w:val="333333"/>
        </w:rPr>
        <w:t xml:space="preserve">If the threshold is not met, and no benchmark is created, then you’ll get 3 points for the measure during year 1.  Everyone who reports are combined in the calculation to derive each benchmark.  </w:t>
      </w:r>
      <w:r w:rsidRPr="007541DD">
        <w:rPr>
          <w:rStyle w:val="apple-converted-space"/>
          <w:rFonts w:ascii="Times New Roman" w:hAnsi="Times New Roman" w:cs="Times New Roman"/>
          <w:b/>
          <w:bCs/>
          <w:color w:val="333333"/>
        </w:rPr>
        <w:br/>
      </w:r>
      <w:r w:rsidR="001705B2">
        <w:rPr>
          <w:rFonts w:ascii="Times New Roman" w:eastAsia="Times New Roman" w:hAnsi="Times New Roman" w:cs="Times New Roman"/>
          <w:b/>
        </w:rPr>
        <w:t>*</w:t>
      </w:r>
      <w:r w:rsidRPr="007541DD">
        <w:rPr>
          <w:rFonts w:ascii="Times New Roman" w:eastAsia="Times New Roman" w:hAnsi="Times New Roman" w:cs="Times New Roman"/>
          <w:b/>
        </w:rPr>
        <w:t>*Because of this, we</w:t>
      </w:r>
      <w:r w:rsidRPr="009E20A1">
        <w:rPr>
          <w:rFonts w:ascii="Times New Roman" w:eastAsia="Times New Roman" w:hAnsi="Times New Roman" w:cs="Times New Roman"/>
          <w:b/>
        </w:rPr>
        <w:t xml:space="preserve"> will encourage our Q</w:t>
      </w:r>
      <w:r w:rsidRPr="007541DD">
        <w:rPr>
          <w:rFonts w:ascii="Times New Roman" w:eastAsia="Times New Roman" w:hAnsi="Times New Roman" w:cs="Times New Roman"/>
          <w:b/>
        </w:rPr>
        <w:t>CDR participants to submit all Quality M</w:t>
      </w:r>
      <w:r w:rsidRPr="009E20A1">
        <w:rPr>
          <w:rFonts w:ascii="Times New Roman" w:eastAsia="Times New Roman" w:hAnsi="Times New Roman" w:cs="Times New Roman"/>
          <w:b/>
        </w:rPr>
        <w:t>easures they can above t</w:t>
      </w:r>
      <w:r w:rsidRPr="007541DD">
        <w:rPr>
          <w:rFonts w:ascii="Times New Roman" w:eastAsia="Times New Roman" w:hAnsi="Times New Roman" w:cs="Times New Roman"/>
          <w:b/>
        </w:rPr>
        <w:t>he general requirements for 2017</w:t>
      </w:r>
      <w:r w:rsidRPr="009E20A1">
        <w:rPr>
          <w:rFonts w:ascii="Times New Roman" w:eastAsia="Times New Roman" w:hAnsi="Times New Roman" w:cs="Times New Roman"/>
          <w:b/>
        </w:rPr>
        <w:t xml:space="preserve"> to maximize value and data collection</w:t>
      </w:r>
      <w:r w:rsidR="001705B2">
        <w:rPr>
          <w:rFonts w:ascii="Times New Roman" w:eastAsia="Times New Roman" w:hAnsi="Times New Roman" w:cs="Times New Roman"/>
          <w:b/>
        </w:rPr>
        <w:t>.</w:t>
      </w:r>
    </w:p>
    <w:p w:rsidR="00E330E4" w:rsidRPr="001705B2" w:rsidRDefault="00E330E4" w:rsidP="00E330E4">
      <w:pPr>
        <w:pStyle w:val="Heading3"/>
        <w:spacing w:before="0" w:beforeAutospacing="0" w:after="0" w:afterAutospacing="0"/>
        <w:rPr>
          <w:bCs w:val="0"/>
          <w:color w:val="333333"/>
          <w:sz w:val="28"/>
          <w:szCs w:val="28"/>
        </w:rPr>
      </w:pPr>
      <w:r w:rsidRPr="001705B2">
        <w:rPr>
          <w:bCs w:val="0"/>
          <w:color w:val="333333"/>
          <w:sz w:val="28"/>
          <w:szCs w:val="28"/>
        </w:rPr>
        <w:t>Bonus points are available for:</w:t>
      </w:r>
    </w:p>
    <w:p w:rsidR="00E330E4" w:rsidRPr="007541DD" w:rsidRDefault="00E330E4" w:rsidP="00E330E4">
      <w:pPr>
        <w:pStyle w:val="Heading3"/>
        <w:numPr>
          <w:ilvl w:val="0"/>
          <w:numId w:val="9"/>
        </w:numPr>
        <w:spacing w:before="0" w:beforeAutospacing="0" w:after="0" w:afterAutospacing="0"/>
        <w:ind w:left="0"/>
        <w:rPr>
          <w:b w:val="0"/>
          <w:bCs w:val="0"/>
          <w:color w:val="333333"/>
          <w:sz w:val="24"/>
          <w:szCs w:val="24"/>
        </w:rPr>
      </w:pPr>
      <w:r w:rsidRPr="007541DD">
        <w:rPr>
          <w:rStyle w:val="Emphasis"/>
          <w:b w:val="0"/>
          <w:bCs w:val="0"/>
          <w:color w:val="333333"/>
          <w:sz w:val="24"/>
          <w:szCs w:val="24"/>
          <w:u w:val="single"/>
        </w:rPr>
        <w:t>End-to-end reporting</w:t>
      </w:r>
      <w:r w:rsidRPr="007541DD">
        <w:rPr>
          <w:b w:val="0"/>
          <w:bCs w:val="0"/>
          <w:color w:val="333333"/>
          <w:sz w:val="24"/>
          <w:szCs w:val="24"/>
        </w:rPr>
        <w:t>: Clinicians receive one bonus point if they report their quality data directly from their EHR to a qualified registry, QCDR, or via the CMS Web Interface.</w:t>
      </w:r>
    </w:p>
    <w:p w:rsidR="00E330E4" w:rsidRPr="007541DD" w:rsidRDefault="00E330E4" w:rsidP="00E330E4">
      <w:pPr>
        <w:pStyle w:val="Heading3"/>
        <w:numPr>
          <w:ilvl w:val="0"/>
          <w:numId w:val="9"/>
        </w:numPr>
        <w:spacing w:before="0" w:beforeAutospacing="0" w:after="0" w:afterAutospacing="0"/>
        <w:ind w:left="0"/>
        <w:rPr>
          <w:b w:val="0"/>
          <w:bCs w:val="0"/>
          <w:color w:val="333333"/>
          <w:sz w:val="24"/>
          <w:szCs w:val="24"/>
        </w:rPr>
      </w:pPr>
      <w:r w:rsidRPr="007541DD">
        <w:rPr>
          <w:rStyle w:val="Emphasis"/>
          <w:b w:val="0"/>
          <w:bCs w:val="0"/>
          <w:color w:val="333333"/>
          <w:sz w:val="24"/>
          <w:szCs w:val="24"/>
          <w:u w:val="single"/>
        </w:rPr>
        <w:t>Submitting additional measures</w:t>
      </w:r>
      <w:r w:rsidRPr="007541DD">
        <w:rPr>
          <w:b w:val="0"/>
          <w:bCs w:val="0"/>
          <w:color w:val="333333"/>
          <w:sz w:val="24"/>
          <w:szCs w:val="24"/>
          <w:u w:val="single"/>
        </w:rPr>
        <w:t>:</w:t>
      </w:r>
      <w:r w:rsidRPr="007541DD">
        <w:rPr>
          <w:b w:val="0"/>
          <w:bCs w:val="0"/>
          <w:color w:val="333333"/>
          <w:sz w:val="24"/>
          <w:szCs w:val="24"/>
        </w:rPr>
        <w:t xml:space="preserve"> Clinicians can get</w:t>
      </w:r>
      <w:r w:rsidRPr="007541DD">
        <w:rPr>
          <w:rStyle w:val="apple-converted-space"/>
          <w:b w:val="0"/>
          <w:bCs w:val="0"/>
          <w:color w:val="333333"/>
          <w:sz w:val="24"/>
          <w:szCs w:val="24"/>
        </w:rPr>
        <w:t> </w:t>
      </w:r>
      <w:r w:rsidRPr="007541DD">
        <w:rPr>
          <w:rStyle w:val="Strong"/>
          <w:b/>
          <w:bCs/>
          <w:color w:val="333333"/>
          <w:sz w:val="24"/>
          <w:szCs w:val="24"/>
        </w:rPr>
        <w:t>one bonus point </w:t>
      </w:r>
      <w:r w:rsidRPr="007541DD">
        <w:rPr>
          <w:b w:val="0"/>
          <w:bCs w:val="0"/>
          <w:color w:val="333333"/>
          <w:sz w:val="24"/>
          <w:szCs w:val="24"/>
        </w:rPr>
        <w:t>for</w:t>
      </w:r>
      <w:r w:rsidRPr="007541DD">
        <w:rPr>
          <w:rStyle w:val="Strong"/>
          <w:b/>
          <w:bCs/>
          <w:color w:val="333333"/>
          <w:sz w:val="24"/>
          <w:szCs w:val="24"/>
        </w:rPr>
        <w:t> each high priority measure</w:t>
      </w:r>
      <w:r w:rsidRPr="007541DD">
        <w:rPr>
          <w:rStyle w:val="apple-converted-space"/>
          <w:b w:val="0"/>
          <w:bCs w:val="0"/>
          <w:color w:val="333333"/>
          <w:sz w:val="24"/>
          <w:szCs w:val="24"/>
        </w:rPr>
        <w:t> </w:t>
      </w:r>
      <w:r w:rsidRPr="007541DD">
        <w:rPr>
          <w:b w:val="0"/>
          <w:bCs w:val="0"/>
          <w:color w:val="333333"/>
          <w:sz w:val="24"/>
          <w:szCs w:val="24"/>
        </w:rPr>
        <w:t>and</w:t>
      </w:r>
      <w:r w:rsidRPr="007541DD">
        <w:rPr>
          <w:rStyle w:val="apple-converted-space"/>
          <w:b w:val="0"/>
          <w:bCs w:val="0"/>
          <w:color w:val="333333"/>
          <w:sz w:val="24"/>
          <w:szCs w:val="24"/>
        </w:rPr>
        <w:t> </w:t>
      </w:r>
      <w:r w:rsidRPr="007541DD">
        <w:rPr>
          <w:rStyle w:val="Strong"/>
          <w:b/>
          <w:bCs/>
          <w:color w:val="333333"/>
          <w:sz w:val="24"/>
          <w:szCs w:val="24"/>
        </w:rPr>
        <w:t>two bonus points</w:t>
      </w:r>
      <w:r w:rsidRPr="007541DD">
        <w:rPr>
          <w:rStyle w:val="apple-converted-space"/>
          <w:b w:val="0"/>
          <w:bCs w:val="0"/>
          <w:color w:val="333333"/>
          <w:sz w:val="24"/>
          <w:szCs w:val="24"/>
        </w:rPr>
        <w:t> </w:t>
      </w:r>
      <w:r w:rsidRPr="007541DD">
        <w:rPr>
          <w:b w:val="0"/>
          <w:bCs w:val="0"/>
          <w:color w:val="333333"/>
          <w:sz w:val="24"/>
          <w:szCs w:val="24"/>
        </w:rPr>
        <w:t>for each additional outcome and patient experience measure.</w:t>
      </w:r>
    </w:p>
    <w:p w:rsidR="009E148A" w:rsidRPr="007541DD" w:rsidRDefault="00AD08F9" w:rsidP="00761A26">
      <w:pPr>
        <w:pStyle w:val="Heading3"/>
        <w:spacing w:before="0" w:beforeAutospacing="0" w:after="0" w:afterAutospacing="0"/>
        <w:rPr>
          <w:bCs w:val="0"/>
          <w:color w:val="333333"/>
          <w:sz w:val="24"/>
          <w:szCs w:val="24"/>
        </w:rPr>
      </w:pPr>
      <w:r w:rsidRPr="007541DD">
        <w:rPr>
          <w:b w:val="0"/>
          <w:bCs w:val="0"/>
          <w:color w:val="333333"/>
          <w:sz w:val="24"/>
          <w:szCs w:val="24"/>
        </w:rPr>
        <w:t xml:space="preserve"> </w:t>
      </w:r>
      <w:r w:rsidRPr="007541DD">
        <w:rPr>
          <w:b w:val="0"/>
          <w:bCs w:val="0"/>
          <w:color w:val="333333"/>
          <w:sz w:val="24"/>
          <w:szCs w:val="24"/>
        </w:rPr>
        <w:br/>
      </w:r>
      <w:r w:rsidRPr="007541DD">
        <w:rPr>
          <w:bCs w:val="0"/>
          <w:color w:val="333333"/>
          <w:sz w:val="24"/>
          <w:szCs w:val="24"/>
        </w:rPr>
        <w:t>You can find measure</w:t>
      </w:r>
      <w:r w:rsidR="001705B2">
        <w:rPr>
          <w:bCs w:val="0"/>
          <w:color w:val="333333"/>
          <w:sz w:val="24"/>
          <w:szCs w:val="24"/>
        </w:rPr>
        <w:t xml:space="preserve"> specifications on the OEIS NR w</w:t>
      </w:r>
      <w:r w:rsidRPr="007541DD">
        <w:rPr>
          <w:bCs w:val="0"/>
          <w:color w:val="333333"/>
          <w:sz w:val="24"/>
          <w:szCs w:val="24"/>
        </w:rPr>
        <w:t xml:space="preserve">ebsite at </w:t>
      </w:r>
      <w:hyperlink r:id="rId5" w:history="1">
        <w:r w:rsidRPr="007541DD">
          <w:rPr>
            <w:rStyle w:val="Hyperlink"/>
            <w:bCs w:val="0"/>
            <w:sz w:val="24"/>
            <w:szCs w:val="24"/>
          </w:rPr>
          <w:t>http://oeisociety.com/oeis-registry.html</w:t>
        </w:r>
      </w:hyperlink>
      <w:r w:rsidRPr="007541DD">
        <w:rPr>
          <w:bCs w:val="0"/>
          <w:color w:val="333333"/>
          <w:sz w:val="24"/>
          <w:szCs w:val="24"/>
        </w:rPr>
        <w:t xml:space="preserve"> </w:t>
      </w:r>
      <w:r w:rsidR="001705B2">
        <w:rPr>
          <w:bCs w:val="0"/>
          <w:color w:val="333333"/>
          <w:sz w:val="24"/>
          <w:szCs w:val="24"/>
        </w:rPr>
        <w:t>.</w:t>
      </w:r>
    </w:p>
    <w:p w:rsidR="001705B2" w:rsidRDefault="001705B2" w:rsidP="00761A26">
      <w:pPr>
        <w:pStyle w:val="Heading3"/>
        <w:spacing w:before="0" w:beforeAutospacing="0" w:after="0" w:afterAutospacing="0"/>
        <w:rPr>
          <w:sz w:val="24"/>
          <w:szCs w:val="24"/>
        </w:rPr>
      </w:pPr>
    </w:p>
    <w:p w:rsidR="00FD587C" w:rsidRPr="007541DD" w:rsidRDefault="00FD587C" w:rsidP="00761A26">
      <w:pPr>
        <w:pStyle w:val="Heading3"/>
        <w:spacing w:before="0" w:beforeAutospacing="0" w:after="0" w:afterAutospacing="0"/>
        <w:rPr>
          <w:sz w:val="24"/>
          <w:szCs w:val="24"/>
        </w:rPr>
      </w:pPr>
    </w:p>
    <w:p w:rsidR="00845ECB" w:rsidRPr="00FD587C" w:rsidRDefault="00845ECB" w:rsidP="00845ECB">
      <w:pPr>
        <w:pStyle w:val="Heading3"/>
        <w:spacing w:before="0" w:beforeAutospacing="0" w:after="0" w:afterAutospacing="0"/>
        <w:rPr>
          <w:color w:val="000000" w:themeColor="text1"/>
          <w:sz w:val="28"/>
          <w:szCs w:val="28"/>
          <w:u w:val="single"/>
        </w:rPr>
      </w:pPr>
      <w:r w:rsidRPr="001705B2">
        <w:rPr>
          <w:color w:val="000000" w:themeColor="text1"/>
          <w:sz w:val="28"/>
          <w:szCs w:val="28"/>
          <w:u w:val="single"/>
        </w:rPr>
        <w:t>Pick Your Pace</w:t>
      </w:r>
      <w:r w:rsidR="001705B2">
        <w:rPr>
          <w:color w:val="000000" w:themeColor="text1"/>
          <w:sz w:val="28"/>
          <w:szCs w:val="28"/>
          <w:u w:val="single"/>
        </w:rPr>
        <w:br/>
      </w:r>
      <w:r w:rsidRPr="007541DD">
        <w:rPr>
          <w:b w:val="0"/>
          <w:bCs w:val="0"/>
          <w:color w:val="333333"/>
          <w:sz w:val="24"/>
          <w:szCs w:val="24"/>
        </w:rPr>
        <w:t>Clinicians can choose from three participation levels for the transition year:</w:t>
      </w:r>
    </w:p>
    <w:p w:rsidR="00845ECB" w:rsidRPr="007541DD" w:rsidRDefault="00845ECB" w:rsidP="00845ECB">
      <w:pPr>
        <w:pStyle w:val="Heading3"/>
        <w:numPr>
          <w:ilvl w:val="0"/>
          <w:numId w:val="6"/>
        </w:numPr>
        <w:spacing w:before="0" w:beforeAutospacing="0" w:after="0" w:afterAutospacing="0"/>
        <w:ind w:left="0"/>
        <w:rPr>
          <w:b w:val="0"/>
          <w:bCs w:val="0"/>
          <w:color w:val="333333"/>
          <w:sz w:val="24"/>
          <w:szCs w:val="24"/>
        </w:rPr>
      </w:pPr>
      <w:r w:rsidRPr="007541DD">
        <w:rPr>
          <w:rStyle w:val="Emphasis"/>
          <w:bCs w:val="0"/>
          <w:color w:val="333333"/>
          <w:sz w:val="24"/>
          <w:szCs w:val="24"/>
        </w:rPr>
        <w:t>Test</w:t>
      </w:r>
      <w:r w:rsidRPr="007541DD">
        <w:rPr>
          <w:rStyle w:val="apple-converted-space"/>
          <w:b w:val="0"/>
          <w:bCs w:val="0"/>
          <w:color w:val="333333"/>
          <w:sz w:val="24"/>
          <w:szCs w:val="24"/>
        </w:rPr>
        <w:t> </w:t>
      </w:r>
      <w:r w:rsidRPr="007541DD">
        <w:rPr>
          <w:b w:val="0"/>
          <w:bCs w:val="0"/>
          <w:color w:val="333333"/>
          <w:sz w:val="24"/>
          <w:szCs w:val="24"/>
        </w:rPr>
        <w:t>allows clinicians to receive neutral or small payment adjustment by submitting just one measure from any category – e.g. just one quality measure or improvement activity.</w:t>
      </w:r>
    </w:p>
    <w:p w:rsidR="00845ECB" w:rsidRPr="007541DD" w:rsidRDefault="00845ECB" w:rsidP="00845ECB">
      <w:pPr>
        <w:pStyle w:val="Heading3"/>
        <w:numPr>
          <w:ilvl w:val="0"/>
          <w:numId w:val="6"/>
        </w:numPr>
        <w:spacing w:before="0" w:beforeAutospacing="0" w:after="0" w:afterAutospacing="0"/>
        <w:ind w:left="0"/>
        <w:rPr>
          <w:b w:val="0"/>
          <w:bCs w:val="0"/>
          <w:color w:val="333333"/>
          <w:sz w:val="24"/>
          <w:szCs w:val="24"/>
        </w:rPr>
      </w:pPr>
      <w:r w:rsidRPr="007541DD">
        <w:rPr>
          <w:rStyle w:val="Emphasis"/>
          <w:bCs w:val="0"/>
          <w:color w:val="333333"/>
          <w:sz w:val="24"/>
          <w:szCs w:val="24"/>
        </w:rPr>
        <w:t>Partial Year</w:t>
      </w:r>
      <w:r w:rsidRPr="007541DD">
        <w:rPr>
          <w:rStyle w:val="apple-converted-space"/>
          <w:b w:val="0"/>
          <w:bCs w:val="0"/>
          <w:color w:val="333333"/>
          <w:sz w:val="24"/>
          <w:szCs w:val="24"/>
        </w:rPr>
        <w:t> </w:t>
      </w:r>
      <w:r w:rsidRPr="007541DD">
        <w:rPr>
          <w:b w:val="0"/>
          <w:bCs w:val="0"/>
          <w:color w:val="333333"/>
          <w:sz w:val="24"/>
          <w:szCs w:val="24"/>
        </w:rPr>
        <w:t xml:space="preserve">participants can report for a </w:t>
      </w:r>
      <w:r w:rsidRPr="007541DD">
        <w:rPr>
          <w:bCs w:val="0"/>
          <w:color w:val="333333"/>
          <w:sz w:val="24"/>
          <w:szCs w:val="24"/>
        </w:rPr>
        <w:t>90-day period</w:t>
      </w:r>
      <w:r w:rsidRPr="007541DD">
        <w:rPr>
          <w:b w:val="0"/>
          <w:bCs w:val="0"/>
          <w:color w:val="333333"/>
          <w:sz w:val="24"/>
          <w:szCs w:val="24"/>
        </w:rPr>
        <w:t xml:space="preserve"> to qualify for a small positive payment adjustment.</w:t>
      </w:r>
    </w:p>
    <w:p w:rsidR="00845ECB" w:rsidRPr="007541DD" w:rsidRDefault="00845ECB" w:rsidP="00845ECB">
      <w:pPr>
        <w:pStyle w:val="Heading3"/>
        <w:numPr>
          <w:ilvl w:val="0"/>
          <w:numId w:val="6"/>
        </w:numPr>
        <w:spacing w:before="0" w:beforeAutospacing="0" w:after="0" w:afterAutospacing="0"/>
        <w:ind w:left="0"/>
        <w:rPr>
          <w:b w:val="0"/>
          <w:bCs w:val="0"/>
          <w:color w:val="333333"/>
          <w:sz w:val="24"/>
          <w:szCs w:val="24"/>
        </w:rPr>
      </w:pPr>
      <w:r w:rsidRPr="007541DD">
        <w:rPr>
          <w:rStyle w:val="Emphasis"/>
          <w:bCs w:val="0"/>
          <w:color w:val="333333"/>
          <w:sz w:val="24"/>
          <w:szCs w:val="24"/>
        </w:rPr>
        <w:t>Full Year</w:t>
      </w:r>
      <w:r w:rsidRPr="007541DD">
        <w:rPr>
          <w:rStyle w:val="apple-converted-space"/>
          <w:b w:val="0"/>
          <w:bCs w:val="0"/>
          <w:color w:val="333333"/>
          <w:sz w:val="24"/>
          <w:szCs w:val="24"/>
        </w:rPr>
        <w:t> </w:t>
      </w:r>
      <w:r w:rsidRPr="007541DD">
        <w:rPr>
          <w:b w:val="0"/>
          <w:bCs w:val="0"/>
          <w:color w:val="333333"/>
          <w:sz w:val="24"/>
          <w:szCs w:val="24"/>
        </w:rPr>
        <w:t>participants can qualify for a moderate positive payment adjustment by submitting data for the January – December 2017 performance year.</w:t>
      </w:r>
    </w:p>
    <w:p w:rsidR="00845ECB" w:rsidRPr="007541DD" w:rsidRDefault="00845ECB" w:rsidP="00845ECB">
      <w:pPr>
        <w:pStyle w:val="Heading3"/>
        <w:numPr>
          <w:ilvl w:val="0"/>
          <w:numId w:val="7"/>
        </w:numPr>
        <w:spacing w:before="0" w:beforeAutospacing="0" w:after="0" w:afterAutospacing="0"/>
        <w:ind w:left="0"/>
        <w:rPr>
          <w:b w:val="0"/>
          <w:bCs w:val="0"/>
          <w:color w:val="333333"/>
          <w:sz w:val="24"/>
          <w:szCs w:val="24"/>
        </w:rPr>
      </w:pPr>
      <w:r w:rsidRPr="007541DD">
        <w:rPr>
          <w:sz w:val="24"/>
          <w:szCs w:val="24"/>
        </w:rPr>
        <w:t xml:space="preserve"> </w:t>
      </w:r>
      <w:r w:rsidRPr="007541DD">
        <w:rPr>
          <w:b w:val="0"/>
          <w:bCs w:val="0"/>
          <w:color w:val="333333"/>
          <w:sz w:val="24"/>
          <w:szCs w:val="24"/>
        </w:rPr>
        <w:t>To meet</w:t>
      </w:r>
      <w:r w:rsidRPr="007541DD">
        <w:rPr>
          <w:rStyle w:val="apple-converted-space"/>
          <w:b w:val="0"/>
          <w:bCs w:val="0"/>
          <w:color w:val="333333"/>
          <w:sz w:val="24"/>
          <w:szCs w:val="24"/>
        </w:rPr>
        <w:t> </w:t>
      </w:r>
      <w:r w:rsidRPr="007541DD">
        <w:rPr>
          <w:rStyle w:val="Emphasis"/>
          <w:bCs w:val="0"/>
          <w:color w:val="333333"/>
          <w:sz w:val="24"/>
          <w:szCs w:val="24"/>
        </w:rPr>
        <w:t>Full Year</w:t>
      </w:r>
      <w:r w:rsidRPr="007541DD">
        <w:rPr>
          <w:rStyle w:val="apple-converted-space"/>
          <w:bCs w:val="0"/>
          <w:color w:val="333333"/>
          <w:sz w:val="24"/>
          <w:szCs w:val="24"/>
        </w:rPr>
        <w:t> </w:t>
      </w:r>
      <w:r w:rsidRPr="007541DD">
        <w:rPr>
          <w:bCs w:val="0"/>
          <w:color w:val="333333"/>
          <w:sz w:val="24"/>
          <w:szCs w:val="24"/>
        </w:rPr>
        <w:t>requirements</w:t>
      </w:r>
      <w:r w:rsidRPr="007541DD">
        <w:rPr>
          <w:b w:val="0"/>
          <w:bCs w:val="0"/>
          <w:color w:val="333333"/>
          <w:sz w:val="24"/>
          <w:szCs w:val="24"/>
        </w:rPr>
        <w:t xml:space="preserve">, clinicians must </w:t>
      </w:r>
    </w:p>
    <w:p w:rsidR="00845ECB" w:rsidRPr="007541DD" w:rsidRDefault="00845ECB" w:rsidP="00845ECB">
      <w:pPr>
        <w:pStyle w:val="Heading3"/>
        <w:numPr>
          <w:ilvl w:val="1"/>
          <w:numId w:val="7"/>
        </w:numPr>
        <w:spacing w:before="0" w:beforeAutospacing="0" w:after="0" w:afterAutospacing="0"/>
        <w:rPr>
          <w:b w:val="0"/>
          <w:bCs w:val="0"/>
          <w:color w:val="333333"/>
          <w:sz w:val="24"/>
          <w:szCs w:val="24"/>
        </w:rPr>
      </w:pPr>
      <w:r w:rsidRPr="007541DD">
        <w:rPr>
          <w:b w:val="0"/>
          <w:bCs w:val="0"/>
          <w:color w:val="333333"/>
          <w:sz w:val="24"/>
          <w:szCs w:val="24"/>
        </w:rPr>
        <w:t xml:space="preserve">Report at least </w:t>
      </w:r>
      <w:r w:rsidRPr="007541DD">
        <w:rPr>
          <w:bCs w:val="0"/>
          <w:color w:val="333333"/>
          <w:sz w:val="24"/>
          <w:szCs w:val="24"/>
        </w:rPr>
        <w:t>6 measures</w:t>
      </w:r>
      <w:r w:rsidRPr="007541DD">
        <w:rPr>
          <w:b w:val="0"/>
          <w:bCs w:val="0"/>
          <w:color w:val="333333"/>
          <w:sz w:val="24"/>
          <w:szCs w:val="24"/>
        </w:rPr>
        <w:t xml:space="preserve"> for at least 50% of the eligible provider’s applicable patients (</w:t>
      </w:r>
      <w:r w:rsidRPr="007541DD">
        <w:rPr>
          <w:rStyle w:val="Strong"/>
          <w:b/>
          <w:bCs/>
          <w:color w:val="333333"/>
          <w:sz w:val="24"/>
          <w:szCs w:val="24"/>
        </w:rPr>
        <w:t>all patients, not just Medicare</w:t>
      </w:r>
      <w:r w:rsidRPr="007541DD">
        <w:rPr>
          <w:b w:val="0"/>
          <w:bCs w:val="0"/>
          <w:color w:val="333333"/>
          <w:sz w:val="24"/>
          <w:szCs w:val="24"/>
        </w:rPr>
        <w:t>) seen from January 1, 2017 thru December 31, 2017.</w:t>
      </w:r>
    </w:p>
    <w:p w:rsidR="0090444C" w:rsidRPr="007541DD" w:rsidRDefault="00845ECB" w:rsidP="00845ECB">
      <w:pPr>
        <w:pStyle w:val="Heading3"/>
        <w:numPr>
          <w:ilvl w:val="1"/>
          <w:numId w:val="7"/>
        </w:numPr>
        <w:spacing w:before="0" w:beforeAutospacing="0" w:after="0" w:afterAutospacing="0"/>
        <w:rPr>
          <w:b w:val="0"/>
          <w:bCs w:val="0"/>
          <w:color w:val="333333"/>
          <w:sz w:val="24"/>
          <w:szCs w:val="24"/>
        </w:rPr>
      </w:pPr>
      <w:r w:rsidRPr="007541DD">
        <w:rPr>
          <w:b w:val="0"/>
          <w:bCs w:val="0"/>
          <w:color w:val="333333"/>
          <w:sz w:val="24"/>
          <w:szCs w:val="24"/>
        </w:rPr>
        <w:t xml:space="preserve">Report on at least </w:t>
      </w:r>
      <w:r w:rsidRPr="007541DD">
        <w:rPr>
          <w:bCs w:val="0"/>
          <w:color w:val="333333"/>
          <w:sz w:val="24"/>
          <w:szCs w:val="24"/>
        </w:rPr>
        <w:t>one outcome measure</w:t>
      </w:r>
      <w:r w:rsidRPr="007541DD">
        <w:rPr>
          <w:b w:val="0"/>
          <w:bCs w:val="0"/>
          <w:color w:val="333333"/>
          <w:sz w:val="24"/>
          <w:szCs w:val="24"/>
        </w:rPr>
        <w:t>. If one outcome measure is not available, then report on a high priority measure.</w:t>
      </w:r>
    </w:p>
    <w:p w:rsidR="002264FA" w:rsidRDefault="002264FA" w:rsidP="0090444C">
      <w:pPr>
        <w:autoSpaceDE w:val="0"/>
        <w:autoSpaceDN w:val="0"/>
        <w:adjustRightInd w:val="0"/>
        <w:rPr>
          <w:rFonts w:ascii="Times New Roman" w:hAnsi="Times New Roman" w:cs="Times New Roman"/>
          <w:color w:val="196A88"/>
        </w:rPr>
      </w:pPr>
    </w:p>
    <w:p w:rsidR="00FD587C" w:rsidRDefault="00FD587C" w:rsidP="0090444C">
      <w:pPr>
        <w:autoSpaceDE w:val="0"/>
        <w:autoSpaceDN w:val="0"/>
        <w:adjustRightInd w:val="0"/>
        <w:rPr>
          <w:rFonts w:ascii="Times New Roman" w:hAnsi="Times New Roman" w:cs="Times New Roman"/>
          <w:color w:val="196A88"/>
        </w:rPr>
      </w:pPr>
    </w:p>
    <w:p w:rsidR="00FD587C" w:rsidRDefault="00FD587C" w:rsidP="0090444C">
      <w:pPr>
        <w:autoSpaceDE w:val="0"/>
        <w:autoSpaceDN w:val="0"/>
        <w:adjustRightInd w:val="0"/>
        <w:rPr>
          <w:rFonts w:ascii="Times New Roman" w:hAnsi="Times New Roman" w:cs="Times New Roman"/>
          <w:color w:val="196A88"/>
        </w:rPr>
      </w:pPr>
    </w:p>
    <w:p w:rsidR="00FD587C" w:rsidRDefault="00FD587C" w:rsidP="0090444C">
      <w:pPr>
        <w:autoSpaceDE w:val="0"/>
        <w:autoSpaceDN w:val="0"/>
        <w:adjustRightInd w:val="0"/>
        <w:rPr>
          <w:rFonts w:ascii="Times New Roman" w:hAnsi="Times New Roman" w:cs="Times New Roman"/>
          <w:color w:val="196A88"/>
        </w:rPr>
      </w:pPr>
    </w:p>
    <w:p w:rsidR="00FD587C" w:rsidRDefault="00FD587C" w:rsidP="0090444C">
      <w:pPr>
        <w:autoSpaceDE w:val="0"/>
        <w:autoSpaceDN w:val="0"/>
        <w:adjustRightInd w:val="0"/>
        <w:rPr>
          <w:rFonts w:ascii="Times New Roman" w:hAnsi="Times New Roman" w:cs="Times New Roman"/>
          <w:color w:val="196A88"/>
        </w:rPr>
      </w:pPr>
    </w:p>
    <w:p w:rsidR="00FD587C" w:rsidRPr="007541DD" w:rsidRDefault="00FD587C" w:rsidP="0090444C">
      <w:pPr>
        <w:autoSpaceDE w:val="0"/>
        <w:autoSpaceDN w:val="0"/>
        <w:adjustRightInd w:val="0"/>
        <w:rPr>
          <w:rFonts w:ascii="Times New Roman" w:hAnsi="Times New Roman" w:cs="Times New Roman"/>
          <w:color w:val="196A88"/>
        </w:rPr>
      </w:pPr>
    </w:p>
    <w:p w:rsidR="00986691" w:rsidRPr="00FD587C" w:rsidRDefault="00F8669D" w:rsidP="00FD587C">
      <w:pPr>
        <w:spacing w:before="100" w:beforeAutospacing="1" w:after="100" w:afterAutospacing="1"/>
        <w:rPr>
          <w:rFonts w:ascii="Times New Roman" w:hAnsi="Times New Roman" w:cs="Times New Roman"/>
          <w:bCs/>
          <w:color w:val="333333"/>
          <w:sz w:val="22"/>
          <w:szCs w:val="22"/>
        </w:rPr>
      </w:pPr>
      <w:r w:rsidRPr="00F8669D">
        <w:rPr>
          <w:rFonts w:ascii="Times New Roman" w:eastAsia="Times New Roman" w:hAnsi="Times New Roman" w:cs="Times New Roman"/>
          <w:b/>
          <w:bCs/>
          <w:sz w:val="22"/>
          <w:szCs w:val="22"/>
        </w:rPr>
        <w:t>DISCLAIMER</w:t>
      </w:r>
      <w:r w:rsidR="00204249" w:rsidRPr="00FD587C">
        <w:rPr>
          <w:rFonts w:ascii="Times New Roman" w:eastAsia="Times New Roman" w:hAnsi="Times New Roman" w:cs="Times New Roman"/>
          <w:b/>
          <w:bCs/>
          <w:sz w:val="22"/>
          <w:szCs w:val="22"/>
        </w:rPr>
        <w:t xml:space="preserve">: </w:t>
      </w:r>
      <w:r w:rsidRPr="00F8669D">
        <w:rPr>
          <w:rFonts w:ascii="Times New Roman" w:eastAsia="Times New Roman" w:hAnsi="Times New Roman" w:cs="Times New Roman"/>
          <w:bCs/>
          <w:sz w:val="22"/>
          <w:szCs w:val="22"/>
        </w:rPr>
        <w:t>Participation in the</w:t>
      </w:r>
      <w:r w:rsidRPr="00FD587C">
        <w:rPr>
          <w:rFonts w:ascii="Times New Roman" w:eastAsia="Times New Roman" w:hAnsi="Times New Roman" w:cs="Times New Roman"/>
          <w:bCs/>
          <w:sz w:val="22"/>
          <w:szCs w:val="22"/>
        </w:rPr>
        <w:t xml:space="preserve"> OEIS National Registry QCDR</w:t>
      </w:r>
      <w:r w:rsidRPr="00F8669D">
        <w:rPr>
          <w:rFonts w:ascii="Times New Roman" w:eastAsia="Times New Roman" w:hAnsi="Times New Roman" w:cs="Times New Roman"/>
          <w:bCs/>
          <w:sz w:val="22"/>
          <w:szCs w:val="22"/>
        </w:rPr>
        <w:t xml:space="preserve"> does not guarantee satisfactory participation in CMS MIPS program. Successful submission to CMS is contingent upon each ind</w:t>
      </w:r>
      <w:r w:rsidRPr="00FD587C">
        <w:rPr>
          <w:rFonts w:ascii="Times New Roman" w:eastAsia="Times New Roman" w:hAnsi="Times New Roman" w:cs="Times New Roman"/>
          <w:bCs/>
          <w:sz w:val="22"/>
          <w:szCs w:val="22"/>
        </w:rPr>
        <w:t xml:space="preserve">ividual eligible clinician </w:t>
      </w:r>
      <w:r w:rsidRPr="00F8669D">
        <w:rPr>
          <w:rFonts w:ascii="Times New Roman" w:eastAsia="Times New Roman" w:hAnsi="Times New Roman" w:cs="Times New Roman"/>
          <w:bCs/>
          <w:sz w:val="22"/>
          <w:szCs w:val="22"/>
        </w:rPr>
        <w:t>and/or group meeting the MIPS program requirements and the timeliness, quality, and accuracy of the data they provide for reporting. The information provided is not to be construed as practice management or legal advice. Every reasonable effort has been made to ensure the accuracy of the information presen</w:t>
      </w:r>
      <w:r w:rsidR="00204249" w:rsidRPr="00FD587C">
        <w:rPr>
          <w:rFonts w:ascii="Times New Roman" w:eastAsia="Times New Roman" w:hAnsi="Times New Roman" w:cs="Times New Roman"/>
          <w:bCs/>
          <w:sz w:val="22"/>
          <w:szCs w:val="22"/>
        </w:rPr>
        <w:t>ted at the time of posting, but in the unlikely event of certain errors or omissions, OEIS National Registry</w:t>
      </w:r>
      <w:r w:rsidRPr="00F8669D">
        <w:rPr>
          <w:rFonts w:ascii="Times New Roman" w:eastAsia="Times New Roman" w:hAnsi="Times New Roman" w:cs="Times New Roman"/>
          <w:bCs/>
          <w:sz w:val="22"/>
          <w:szCs w:val="22"/>
        </w:rPr>
        <w:t xml:space="preserve"> </w:t>
      </w:r>
      <w:r w:rsidR="00204249" w:rsidRPr="00FD587C">
        <w:rPr>
          <w:rFonts w:ascii="Times New Roman" w:eastAsia="Times New Roman" w:hAnsi="Times New Roman" w:cs="Times New Roman"/>
          <w:bCs/>
          <w:sz w:val="22"/>
          <w:szCs w:val="22"/>
        </w:rPr>
        <w:t xml:space="preserve">will not be liable for any loss or damage incurred by third parties arising from the use of the information.  </w:t>
      </w:r>
      <w:r w:rsidRPr="00F8669D">
        <w:rPr>
          <w:rFonts w:ascii="Times New Roman" w:eastAsia="Times New Roman" w:hAnsi="Times New Roman" w:cs="Times New Roman"/>
          <w:bCs/>
          <w:sz w:val="22"/>
          <w:szCs w:val="22"/>
        </w:rPr>
        <w:t xml:space="preserve">Please consult your legal advisor or other qualified professional for guidance and information specific to your situation. </w:t>
      </w:r>
      <w:r w:rsidR="000D78FC" w:rsidRPr="00FD587C">
        <w:rPr>
          <w:rFonts w:ascii="Times New Roman" w:eastAsia="Times New Roman" w:hAnsi="Times New Roman" w:cs="Times New Roman"/>
          <w:sz w:val="22"/>
          <w:szCs w:val="22"/>
        </w:rPr>
        <w:br/>
      </w:r>
    </w:p>
    <w:sectPr w:rsidR="00986691" w:rsidRPr="00FD587C" w:rsidSect="00FD587C">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EBC03C8"/>
    <w:multiLevelType w:val="multilevel"/>
    <w:tmpl w:val="6C8CB986"/>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B8F74F3"/>
    <w:multiLevelType w:val="multilevel"/>
    <w:tmpl w:val="6C8CB986"/>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5AE30E5"/>
    <w:multiLevelType w:val="multilevel"/>
    <w:tmpl w:val="085AC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ADD149D"/>
    <w:multiLevelType w:val="hybridMultilevel"/>
    <w:tmpl w:val="B1E41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F248DA"/>
    <w:multiLevelType w:val="multilevel"/>
    <w:tmpl w:val="3D66CB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9E53779"/>
    <w:multiLevelType w:val="multilevel"/>
    <w:tmpl w:val="B79A1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1145A8A"/>
    <w:multiLevelType w:val="multilevel"/>
    <w:tmpl w:val="6C8CB986"/>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4912FE8"/>
    <w:multiLevelType w:val="multilevel"/>
    <w:tmpl w:val="6C8CB986"/>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927254B"/>
    <w:multiLevelType w:val="hybridMultilevel"/>
    <w:tmpl w:val="D024AE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C58157E"/>
    <w:multiLevelType w:val="multilevel"/>
    <w:tmpl w:val="8A46F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AAB3F5F"/>
    <w:multiLevelType w:val="multilevel"/>
    <w:tmpl w:val="9F06331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 w:numId="4">
    <w:abstractNumId w:val="3"/>
  </w:num>
  <w:num w:numId="5">
    <w:abstractNumId w:val="9"/>
  </w:num>
  <w:num w:numId="6">
    <w:abstractNumId w:val="8"/>
  </w:num>
  <w:num w:numId="7">
    <w:abstractNumId w:val="14"/>
  </w:num>
  <w:num w:numId="8">
    <w:abstractNumId w:val="13"/>
  </w:num>
  <w:num w:numId="9">
    <w:abstractNumId w:val="6"/>
  </w:num>
  <w:num w:numId="10">
    <w:abstractNumId w:val="10"/>
  </w:num>
  <w:num w:numId="11">
    <w:abstractNumId w:val="7"/>
  </w:num>
  <w:num w:numId="12">
    <w:abstractNumId w:val="11"/>
  </w:num>
  <w:num w:numId="13">
    <w:abstractNumId w:val="5"/>
  </w:num>
  <w:num w:numId="14">
    <w:abstractNumId w:val="4"/>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4D2"/>
    <w:rsid w:val="00014FCD"/>
    <w:rsid w:val="00065D56"/>
    <w:rsid w:val="000D78FC"/>
    <w:rsid w:val="00100C8C"/>
    <w:rsid w:val="0011490F"/>
    <w:rsid w:val="001546A8"/>
    <w:rsid w:val="001705B2"/>
    <w:rsid w:val="001843A2"/>
    <w:rsid w:val="00204249"/>
    <w:rsid w:val="002264FA"/>
    <w:rsid w:val="00242C30"/>
    <w:rsid w:val="003106F5"/>
    <w:rsid w:val="003B22C8"/>
    <w:rsid w:val="003D6430"/>
    <w:rsid w:val="004434D2"/>
    <w:rsid w:val="004D2C48"/>
    <w:rsid w:val="004D3236"/>
    <w:rsid w:val="004F4425"/>
    <w:rsid w:val="005127D7"/>
    <w:rsid w:val="005673EF"/>
    <w:rsid w:val="0058129C"/>
    <w:rsid w:val="005D5FD6"/>
    <w:rsid w:val="0061481F"/>
    <w:rsid w:val="00623275"/>
    <w:rsid w:val="006A1739"/>
    <w:rsid w:val="007541DD"/>
    <w:rsid w:val="00761A26"/>
    <w:rsid w:val="007B0BB6"/>
    <w:rsid w:val="007E1C5C"/>
    <w:rsid w:val="007F1711"/>
    <w:rsid w:val="00845ECB"/>
    <w:rsid w:val="00874B98"/>
    <w:rsid w:val="008B5926"/>
    <w:rsid w:val="0090444C"/>
    <w:rsid w:val="00986691"/>
    <w:rsid w:val="009918DF"/>
    <w:rsid w:val="00996ADA"/>
    <w:rsid w:val="009C0DE8"/>
    <w:rsid w:val="009E148A"/>
    <w:rsid w:val="009E20A1"/>
    <w:rsid w:val="00A30D2F"/>
    <w:rsid w:val="00A32421"/>
    <w:rsid w:val="00AC7360"/>
    <w:rsid w:val="00AD08F9"/>
    <w:rsid w:val="00CC2A4F"/>
    <w:rsid w:val="00CF1A07"/>
    <w:rsid w:val="00D712E6"/>
    <w:rsid w:val="00DA4B9E"/>
    <w:rsid w:val="00E330E4"/>
    <w:rsid w:val="00E5026C"/>
    <w:rsid w:val="00E65F3A"/>
    <w:rsid w:val="00E8412D"/>
    <w:rsid w:val="00F1114A"/>
    <w:rsid w:val="00F85767"/>
    <w:rsid w:val="00F8669D"/>
    <w:rsid w:val="00FB2108"/>
    <w:rsid w:val="00FD58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565E4B-09C0-2E44-911C-97C0E76A9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9C0DE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9C0DE8"/>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C0DE8"/>
    <w:rPr>
      <w:rFonts w:ascii="Times New Roman" w:eastAsia="Times New Roman" w:hAnsi="Times New Roman" w:cs="Times New Roman"/>
      <w:b/>
      <w:bCs/>
      <w:sz w:val="27"/>
      <w:szCs w:val="27"/>
    </w:rPr>
  </w:style>
  <w:style w:type="character" w:customStyle="1" w:styleId="Heading2Char">
    <w:name w:val="Heading 2 Char"/>
    <w:basedOn w:val="DefaultParagraphFont"/>
    <w:link w:val="Heading2"/>
    <w:uiPriority w:val="9"/>
    <w:semiHidden/>
    <w:rsid w:val="009C0DE8"/>
    <w:rPr>
      <w:rFonts w:asciiTheme="majorHAnsi" w:eastAsiaTheme="majorEastAsia" w:hAnsiTheme="majorHAnsi" w:cstheme="majorBidi"/>
      <w:color w:val="2F5496" w:themeColor="accent1" w:themeShade="BF"/>
      <w:sz w:val="26"/>
      <w:szCs w:val="26"/>
    </w:rPr>
  </w:style>
  <w:style w:type="character" w:customStyle="1" w:styleId="apple-converted-space">
    <w:name w:val="apple-converted-space"/>
    <w:basedOn w:val="DefaultParagraphFont"/>
    <w:rsid w:val="009C0DE8"/>
  </w:style>
  <w:style w:type="character" w:styleId="Emphasis">
    <w:name w:val="Emphasis"/>
    <w:basedOn w:val="DefaultParagraphFont"/>
    <w:uiPriority w:val="20"/>
    <w:qFormat/>
    <w:rsid w:val="009C0DE8"/>
    <w:rPr>
      <w:i/>
      <w:iCs/>
    </w:rPr>
  </w:style>
  <w:style w:type="paragraph" w:styleId="NormalWeb">
    <w:name w:val="Normal (Web)"/>
    <w:basedOn w:val="Normal"/>
    <w:uiPriority w:val="99"/>
    <w:unhideWhenUsed/>
    <w:rsid w:val="009C0DE8"/>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58129C"/>
    <w:rPr>
      <w:color w:val="0000FF"/>
      <w:u w:val="single"/>
    </w:rPr>
  </w:style>
  <w:style w:type="character" w:styleId="Strong">
    <w:name w:val="Strong"/>
    <w:basedOn w:val="DefaultParagraphFont"/>
    <w:uiPriority w:val="22"/>
    <w:qFormat/>
    <w:rsid w:val="0058129C"/>
    <w:rPr>
      <w:b/>
      <w:bCs/>
    </w:rPr>
  </w:style>
  <w:style w:type="character" w:styleId="UnresolvedMention">
    <w:name w:val="Unresolved Mention"/>
    <w:basedOn w:val="DefaultParagraphFont"/>
    <w:uiPriority w:val="99"/>
    <w:semiHidden/>
    <w:unhideWhenUsed/>
    <w:rsid w:val="006A1739"/>
    <w:rPr>
      <w:color w:val="808080"/>
      <w:shd w:val="clear" w:color="auto" w:fill="E6E6E6"/>
    </w:rPr>
  </w:style>
  <w:style w:type="paragraph" w:styleId="ListParagraph">
    <w:name w:val="List Paragraph"/>
    <w:basedOn w:val="Normal"/>
    <w:uiPriority w:val="34"/>
    <w:qFormat/>
    <w:rsid w:val="006A1739"/>
    <w:pPr>
      <w:ind w:left="720"/>
      <w:contextualSpacing/>
    </w:pPr>
  </w:style>
  <w:style w:type="character" w:styleId="FollowedHyperlink">
    <w:name w:val="FollowedHyperlink"/>
    <w:basedOn w:val="DefaultParagraphFont"/>
    <w:uiPriority w:val="99"/>
    <w:semiHidden/>
    <w:unhideWhenUsed/>
    <w:rsid w:val="0062327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416804">
      <w:bodyDiv w:val="1"/>
      <w:marLeft w:val="0"/>
      <w:marRight w:val="0"/>
      <w:marTop w:val="0"/>
      <w:marBottom w:val="0"/>
      <w:divBdr>
        <w:top w:val="none" w:sz="0" w:space="0" w:color="auto"/>
        <w:left w:val="none" w:sz="0" w:space="0" w:color="auto"/>
        <w:bottom w:val="none" w:sz="0" w:space="0" w:color="auto"/>
        <w:right w:val="none" w:sz="0" w:space="0" w:color="auto"/>
      </w:divBdr>
    </w:div>
    <w:div w:id="183977861">
      <w:bodyDiv w:val="1"/>
      <w:marLeft w:val="0"/>
      <w:marRight w:val="0"/>
      <w:marTop w:val="0"/>
      <w:marBottom w:val="0"/>
      <w:divBdr>
        <w:top w:val="none" w:sz="0" w:space="0" w:color="auto"/>
        <w:left w:val="none" w:sz="0" w:space="0" w:color="auto"/>
        <w:bottom w:val="none" w:sz="0" w:space="0" w:color="auto"/>
        <w:right w:val="none" w:sz="0" w:space="0" w:color="auto"/>
      </w:divBdr>
      <w:divsChild>
        <w:div w:id="831215712">
          <w:marLeft w:val="0"/>
          <w:marRight w:val="0"/>
          <w:marTop w:val="0"/>
          <w:marBottom w:val="0"/>
          <w:divBdr>
            <w:top w:val="none" w:sz="0" w:space="0" w:color="auto"/>
            <w:left w:val="none" w:sz="0" w:space="0" w:color="auto"/>
            <w:bottom w:val="none" w:sz="0" w:space="0" w:color="auto"/>
            <w:right w:val="none" w:sz="0" w:space="0" w:color="auto"/>
          </w:divBdr>
          <w:divsChild>
            <w:div w:id="837383794">
              <w:marLeft w:val="0"/>
              <w:marRight w:val="0"/>
              <w:marTop w:val="0"/>
              <w:marBottom w:val="0"/>
              <w:divBdr>
                <w:top w:val="none" w:sz="0" w:space="0" w:color="auto"/>
                <w:left w:val="none" w:sz="0" w:space="0" w:color="auto"/>
                <w:bottom w:val="none" w:sz="0" w:space="0" w:color="auto"/>
                <w:right w:val="none" w:sz="0" w:space="0" w:color="auto"/>
              </w:divBdr>
              <w:divsChild>
                <w:div w:id="183051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97850">
      <w:bodyDiv w:val="1"/>
      <w:marLeft w:val="0"/>
      <w:marRight w:val="0"/>
      <w:marTop w:val="0"/>
      <w:marBottom w:val="0"/>
      <w:divBdr>
        <w:top w:val="none" w:sz="0" w:space="0" w:color="auto"/>
        <w:left w:val="none" w:sz="0" w:space="0" w:color="auto"/>
        <w:bottom w:val="none" w:sz="0" w:space="0" w:color="auto"/>
        <w:right w:val="none" w:sz="0" w:space="0" w:color="auto"/>
      </w:divBdr>
      <w:divsChild>
        <w:div w:id="408577992">
          <w:marLeft w:val="0"/>
          <w:marRight w:val="0"/>
          <w:marTop w:val="0"/>
          <w:marBottom w:val="0"/>
          <w:divBdr>
            <w:top w:val="none" w:sz="0" w:space="0" w:color="auto"/>
            <w:left w:val="none" w:sz="0" w:space="0" w:color="auto"/>
            <w:bottom w:val="none" w:sz="0" w:space="0" w:color="auto"/>
            <w:right w:val="none" w:sz="0" w:space="0" w:color="auto"/>
          </w:divBdr>
          <w:divsChild>
            <w:div w:id="372384087">
              <w:marLeft w:val="0"/>
              <w:marRight w:val="0"/>
              <w:marTop w:val="0"/>
              <w:marBottom w:val="0"/>
              <w:divBdr>
                <w:top w:val="none" w:sz="0" w:space="0" w:color="auto"/>
                <w:left w:val="none" w:sz="0" w:space="0" w:color="auto"/>
                <w:bottom w:val="none" w:sz="0" w:space="0" w:color="auto"/>
                <w:right w:val="none" w:sz="0" w:space="0" w:color="auto"/>
              </w:divBdr>
              <w:divsChild>
                <w:div w:id="151218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080653">
      <w:bodyDiv w:val="1"/>
      <w:marLeft w:val="0"/>
      <w:marRight w:val="0"/>
      <w:marTop w:val="0"/>
      <w:marBottom w:val="0"/>
      <w:divBdr>
        <w:top w:val="none" w:sz="0" w:space="0" w:color="auto"/>
        <w:left w:val="none" w:sz="0" w:space="0" w:color="auto"/>
        <w:bottom w:val="none" w:sz="0" w:space="0" w:color="auto"/>
        <w:right w:val="none" w:sz="0" w:space="0" w:color="auto"/>
      </w:divBdr>
    </w:div>
    <w:div w:id="357974344">
      <w:bodyDiv w:val="1"/>
      <w:marLeft w:val="0"/>
      <w:marRight w:val="0"/>
      <w:marTop w:val="0"/>
      <w:marBottom w:val="0"/>
      <w:divBdr>
        <w:top w:val="none" w:sz="0" w:space="0" w:color="auto"/>
        <w:left w:val="none" w:sz="0" w:space="0" w:color="auto"/>
        <w:bottom w:val="none" w:sz="0" w:space="0" w:color="auto"/>
        <w:right w:val="none" w:sz="0" w:space="0" w:color="auto"/>
      </w:divBdr>
      <w:divsChild>
        <w:div w:id="1860924755">
          <w:marLeft w:val="0"/>
          <w:marRight w:val="0"/>
          <w:marTop w:val="0"/>
          <w:marBottom w:val="0"/>
          <w:divBdr>
            <w:top w:val="none" w:sz="0" w:space="0" w:color="auto"/>
            <w:left w:val="single" w:sz="36" w:space="9" w:color="2196F3"/>
            <w:bottom w:val="none" w:sz="0" w:space="0" w:color="auto"/>
            <w:right w:val="none" w:sz="0" w:space="0" w:color="auto"/>
          </w:divBdr>
        </w:div>
      </w:divsChild>
    </w:div>
    <w:div w:id="414591985">
      <w:bodyDiv w:val="1"/>
      <w:marLeft w:val="0"/>
      <w:marRight w:val="0"/>
      <w:marTop w:val="0"/>
      <w:marBottom w:val="0"/>
      <w:divBdr>
        <w:top w:val="none" w:sz="0" w:space="0" w:color="auto"/>
        <w:left w:val="none" w:sz="0" w:space="0" w:color="auto"/>
        <w:bottom w:val="none" w:sz="0" w:space="0" w:color="auto"/>
        <w:right w:val="none" w:sz="0" w:space="0" w:color="auto"/>
      </w:divBdr>
      <w:divsChild>
        <w:div w:id="708724845">
          <w:marLeft w:val="0"/>
          <w:marRight w:val="0"/>
          <w:marTop w:val="0"/>
          <w:marBottom w:val="0"/>
          <w:divBdr>
            <w:top w:val="none" w:sz="0" w:space="0" w:color="auto"/>
            <w:left w:val="none" w:sz="0" w:space="0" w:color="auto"/>
            <w:bottom w:val="none" w:sz="0" w:space="0" w:color="auto"/>
            <w:right w:val="none" w:sz="0" w:space="0" w:color="auto"/>
          </w:divBdr>
          <w:divsChild>
            <w:div w:id="833375288">
              <w:marLeft w:val="0"/>
              <w:marRight w:val="0"/>
              <w:marTop w:val="0"/>
              <w:marBottom w:val="0"/>
              <w:divBdr>
                <w:top w:val="none" w:sz="0" w:space="0" w:color="auto"/>
                <w:left w:val="none" w:sz="0" w:space="0" w:color="auto"/>
                <w:bottom w:val="none" w:sz="0" w:space="0" w:color="auto"/>
                <w:right w:val="none" w:sz="0" w:space="0" w:color="auto"/>
              </w:divBdr>
              <w:divsChild>
                <w:div w:id="38804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3165707">
      <w:bodyDiv w:val="1"/>
      <w:marLeft w:val="0"/>
      <w:marRight w:val="0"/>
      <w:marTop w:val="0"/>
      <w:marBottom w:val="0"/>
      <w:divBdr>
        <w:top w:val="none" w:sz="0" w:space="0" w:color="auto"/>
        <w:left w:val="none" w:sz="0" w:space="0" w:color="auto"/>
        <w:bottom w:val="none" w:sz="0" w:space="0" w:color="auto"/>
        <w:right w:val="none" w:sz="0" w:space="0" w:color="auto"/>
      </w:divBdr>
    </w:div>
    <w:div w:id="835341937">
      <w:bodyDiv w:val="1"/>
      <w:marLeft w:val="0"/>
      <w:marRight w:val="0"/>
      <w:marTop w:val="0"/>
      <w:marBottom w:val="0"/>
      <w:divBdr>
        <w:top w:val="none" w:sz="0" w:space="0" w:color="auto"/>
        <w:left w:val="none" w:sz="0" w:space="0" w:color="auto"/>
        <w:bottom w:val="none" w:sz="0" w:space="0" w:color="auto"/>
        <w:right w:val="none" w:sz="0" w:space="0" w:color="auto"/>
      </w:divBdr>
    </w:div>
    <w:div w:id="875855698">
      <w:bodyDiv w:val="1"/>
      <w:marLeft w:val="0"/>
      <w:marRight w:val="0"/>
      <w:marTop w:val="0"/>
      <w:marBottom w:val="0"/>
      <w:divBdr>
        <w:top w:val="none" w:sz="0" w:space="0" w:color="auto"/>
        <w:left w:val="none" w:sz="0" w:space="0" w:color="auto"/>
        <w:bottom w:val="none" w:sz="0" w:space="0" w:color="auto"/>
        <w:right w:val="none" w:sz="0" w:space="0" w:color="auto"/>
      </w:divBdr>
      <w:divsChild>
        <w:div w:id="2144805211">
          <w:marLeft w:val="0"/>
          <w:marRight w:val="0"/>
          <w:marTop w:val="0"/>
          <w:marBottom w:val="0"/>
          <w:divBdr>
            <w:top w:val="none" w:sz="0" w:space="0" w:color="auto"/>
            <w:left w:val="single" w:sz="36" w:space="9" w:color="2196F3"/>
            <w:bottom w:val="none" w:sz="0" w:space="0" w:color="auto"/>
            <w:right w:val="none" w:sz="0" w:space="0" w:color="auto"/>
          </w:divBdr>
        </w:div>
      </w:divsChild>
    </w:div>
    <w:div w:id="925842474">
      <w:bodyDiv w:val="1"/>
      <w:marLeft w:val="0"/>
      <w:marRight w:val="0"/>
      <w:marTop w:val="0"/>
      <w:marBottom w:val="0"/>
      <w:divBdr>
        <w:top w:val="none" w:sz="0" w:space="0" w:color="auto"/>
        <w:left w:val="none" w:sz="0" w:space="0" w:color="auto"/>
        <w:bottom w:val="none" w:sz="0" w:space="0" w:color="auto"/>
        <w:right w:val="none" w:sz="0" w:space="0" w:color="auto"/>
      </w:divBdr>
    </w:div>
    <w:div w:id="1070033639">
      <w:bodyDiv w:val="1"/>
      <w:marLeft w:val="0"/>
      <w:marRight w:val="0"/>
      <w:marTop w:val="0"/>
      <w:marBottom w:val="0"/>
      <w:divBdr>
        <w:top w:val="none" w:sz="0" w:space="0" w:color="auto"/>
        <w:left w:val="none" w:sz="0" w:space="0" w:color="auto"/>
        <w:bottom w:val="none" w:sz="0" w:space="0" w:color="auto"/>
        <w:right w:val="none" w:sz="0" w:space="0" w:color="auto"/>
      </w:divBdr>
      <w:divsChild>
        <w:div w:id="399057947">
          <w:marLeft w:val="0"/>
          <w:marRight w:val="0"/>
          <w:marTop w:val="0"/>
          <w:marBottom w:val="0"/>
          <w:divBdr>
            <w:top w:val="none" w:sz="0" w:space="0" w:color="auto"/>
            <w:left w:val="single" w:sz="36" w:space="9" w:color="2196F3"/>
            <w:bottom w:val="none" w:sz="0" w:space="0" w:color="auto"/>
            <w:right w:val="none" w:sz="0" w:space="0" w:color="auto"/>
          </w:divBdr>
        </w:div>
      </w:divsChild>
    </w:div>
    <w:div w:id="1237668199">
      <w:bodyDiv w:val="1"/>
      <w:marLeft w:val="0"/>
      <w:marRight w:val="0"/>
      <w:marTop w:val="0"/>
      <w:marBottom w:val="0"/>
      <w:divBdr>
        <w:top w:val="none" w:sz="0" w:space="0" w:color="auto"/>
        <w:left w:val="none" w:sz="0" w:space="0" w:color="auto"/>
        <w:bottom w:val="none" w:sz="0" w:space="0" w:color="auto"/>
        <w:right w:val="none" w:sz="0" w:space="0" w:color="auto"/>
      </w:divBdr>
    </w:div>
    <w:div w:id="1323391865">
      <w:bodyDiv w:val="1"/>
      <w:marLeft w:val="0"/>
      <w:marRight w:val="0"/>
      <w:marTop w:val="0"/>
      <w:marBottom w:val="0"/>
      <w:divBdr>
        <w:top w:val="none" w:sz="0" w:space="0" w:color="auto"/>
        <w:left w:val="none" w:sz="0" w:space="0" w:color="auto"/>
        <w:bottom w:val="none" w:sz="0" w:space="0" w:color="auto"/>
        <w:right w:val="none" w:sz="0" w:space="0" w:color="auto"/>
      </w:divBdr>
    </w:div>
    <w:div w:id="1392969915">
      <w:bodyDiv w:val="1"/>
      <w:marLeft w:val="0"/>
      <w:marRight w:val="0"/>
      <w:marTop w:val="0"/>
      <w:marBottom w:val="0"/>
      <w:divBdr>
        <w:top w:val="none" w:sz="0" w:space="0" w:color="auto"/>
        <w:left w:val="none" w:sz="0" w:space="0" w:color="auto"/>
        <w:bottom w:val="none" w:sz="0" w:space="0" w:color="auto"/>
        <w:right w:val="none" w:sz="0" w:space="0" w:color="auto"/>
      </w:divBdr>
      <w:divsChild>
        <w:div w:id="262424359">
          <w:marLeft w:val="0"/>
          <w:marRight w:val="0"/>
          <w:marTop w:val="0"/>
          <w:marBottom w:val="0"/>
          <w:divBdr>
            <w:top w:val="none" w:sz="0" w:space="0" w:color="auto"/>
            <w:left w:val="none" w:sz="0" w:space="0" w:color="auto"/>
            <w:bottom w:val="none" w:sz="0" w:space="0" w:color="auto"/>
            <w:right w:val="none" w:sz="0" w:space="0" w:color="auto"/>
          </w:divBdr>
          <w:divsChild>
            <w:div w:id="1088772923">
              <w:marLeft w:val="0"/>
              <w:marRight w:val="0"/>
              <w:marTop w:val="0"/>
              <w:marBottom w:val="0"/>
              <w:divBdr>
                <w:top w:val="none" w:sz="0" w:space="0" w:color="auto"/>
                <w:left w:val="none" w:sz="0" w:space="0" w:color="auto"/>
                <w:bottom w:val="none" w:sz="0" w:space="0" w:color="auto"/>
                <w:right w:val="none" w:sz="0" w:space="0" w:color="auto"/>
              </w:divBdr>
              <w:divsChild>
                <w:div w:id="1206483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372436">
      <w:bodyDiv w:val="1"/>
      <w:marLeft w:val="0"/>
      <w:marRight w:val="0"/>
      <w:marTop w:val="0"/>
      <w:marBottom w:val="0"/>
      <w:divBdr>
        <w:top w:val="none" w:sz="0" w:space="0" w:color="auto"/>
        <w:left w:val="none" w:sz="0" w:space="0" w:color="auto"/>
        <w:bottom w:val="none" w:sz="0" w:space="0" w:color="auto"/>
        <w:right w:val="none" w:sz="0" w:space="0" w:color="auto"/>
      </w:divBdr>
      <w:divsChild>
        <w:div w:id="1049456100">
          <w:marLeft w:val="0"/>
          <w:marRight w:val="0"/>
          <w:marTop w:val="0"/>
          <w:marBottom w:val="0"/>
          <w:divBdr>
            <w:top w:val="none" w:sz="0" w:space="0" w:color="auto"/>
            <w:left w:val="none" w:sz="0" w:space="0" w:color="auto"/>
            <w:bottom w:val="none" w:sz="0" w:space="0" w:color="auto"/>
            <w:right w:val="none" w:sz="0" w:space="0" w:color="auto"/>
          </w:divBdr>
          <w:divsChild>
            <w:div w:id="815300335">
              <w:marLeft w:val="0"/>
              <w:marRight w:val="0"/>
              <w:marTop w:val="0"/>
              <w:marBottom w:val="0"/>
              <w:divBdr>
                <w:top w:val="none" w:sz="0" w:space="0" w:color="auto"/>
                <w:left w:val="none" w:sz="0" w:space="0" w:color="auto"/>
                <w:bottom w:val="none" w:sz="0" w:space="0" w:color="auto"/>
                <w:right w:val="none" w:sz="0" w:space="0" w:color="auto"/>
              </w:divBdr>
              <w:divsChild>
                <w:div w:id="190035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933466">
      <w:bodyDiv w:val="1"/>
      <w:marLeft w:val="0"/>
      <w:marRight w:val="0"/>
      <w:marTop w:val="0"/>
      <w:marBottom w:val="0"/>
      <w:divBdr>
        <w:top w:val="none" w:sz="0" w:space="0" w:color="auto"/>
        <w:left w:val="none" w:sz="0" w:space="0" w:color="auto"/>
        <w:bottom w:val="none" w:sz="0" w:space="0" w:color="auto"/>
        <w:right w:val="none" w:sz="0" w:space="0" w:color="auto"/>
      </w:divBdr>
    </w:div>
    <w:div w:id="1689065919">
      <w:bodyDiv w:val="1"/>
      <w:marLeft w:val="0"/>
      <w:marRight w:val="0"/>
      <w:marTop w:val="0"/>
      <w:marBottom w:val="0"/>
      <w:divBdr>
        <w:top w:val="none" w:sz="0" w:space="0" w:color="auto"/>
        <w:left w:val="none" w:sz="0" w:space="0" w:color="auto"/>
        <w:bottom w:val="none" w:sz="0" w:space="0" w:color="auto"/>
        <w:right w:val="none" w:sz="0" w:space="0" w:color="auto"/>
      </w:divBdr>
      <w:divsChild>
        <w:div w:id="1742211649">
          <w:marLeft w:val="0"/>
          <w:marRight w:val="0"/>
          <w:marTop w:val="0"/>
          <w:marBottom w:val="0"/>
          <w:divBdr>
            <w:top w:val="none" w:sz="0" w:space="0" w:color="auto"/>
            <w:left w:val="single" w:sz="36" w:space="9" w:color="2196F3"/>
            <w:bottom w:val="none" w:sz="0" w:space="0" w:color="auto"/>
            <w:right w:val="none" w:sz="0" w:space="0" w:color="auto"/>
          </w:divBdr>
        </w:div>
      </w:divsChild>
    </w:div>
    <w:div w:id="1697845138">
      <w:bodyDiv w:val="1"/>
      <w:marLeft w:val="0"/>
      <w:marRight w:val="0"/>
      <w:marTop w:val="0"/>
      <w:marBottom w:val="0"/>
      <w:divBdr>
        <w:top w:val="none" w:sz="0" w:space="0" w:color="auto"/>
        <w:left w:val="none" w:sz="0" w:space="0" w:color="auto"/>
        <w:bottom w:val="none" w:sz="0" w:space="0" w:color="auto"/>
        <w:right w:val="none" w:sz="0" w:space="0" w:color="auto"/>
      </w:divBdr>
      <w:divsChild>
        <w:div w:id="1941065589">
          <w:marLeft w:val="0"/>
          <w:marRight w:val="0"/>
          <w:marTop w:val="0"/>
          <w:marBottom w:val="0"/>
          <w:divBdr>
            <w:top w:val="none" w:sz="0" w:space="0" w:color="auto"/>
            <w:left w:val="single" w:sz="36" w:space="9" w:color="2196F3"/>
            <w:bottom w:val="none" w:sz="0" w:space="0" w:color="auto"/>
            <w:right w:val="none" w:sz="0" w:space="0" w:color="auto"/>
          </w:divBdr>
        </w:div>
      </w:divsChild>
    </w:div>
    <w:div w:id="1748531320">
      <w:bodyDiv w:val="1"/>
      <w:marLeft w:val="0"/>
      <w:marRight w:val="0"/>
      <w:marTop w:val="0"/>
      <w:marBottom w:val="0"/>
      <w:divBdr>
        <w:top w:val="none" w:sz="0" w:space="0" w:color="auto"/>
        <w:left w:val="none" w:sz="0" w:space="0" w:color="auto"/>
        <w:bottom w:val="none" w:sz="0" w:space="0" w:color="auto"/>
        <w:right w:val="none" w:sz="0" w:space="0" w:color="auto"/>
      </w:divBdr>
      <w:divsChild>
        <w:div w:id="1907296062">
          <w:marLeft w:val="0"/>
          <w:marRight w:val="0"/>
          <w:marTop w:val="0"/>
          <w:marBottom w:val="0"/>
          <w:divBdr>
            <w:top w:val="none" w:sz="0" w:space="0" w:color="auto"/>
            <w:left w:val="none" w:sz="0" w:space="0" w:color="auto"/>
            <w:bottom w:val="none" w:sz="0" w:space="0" w:color="auto"/>
            <w:right w:val="none" w:sz="0" w:space="0" w:color="auto"/>
          </w:divBdr>
          <w:divsChild>
            <w:div w:id="1795365436">
              <w:marLeft w:val="0"/>
              <w:marRight w:val="0"/>
              <w:marTop w:val="0"/>
              <w:marBottom w:val="0"/>
              <w:divBdr>
                <w:top w:val="none" w:sz="0" w:space="0" w:color="auto"/>
                <w:left w:val="none" w:sz="0" w:space="0" w:color="auto"/>
                <w:bottom w:val="none" w:sz="0" w:space="0" w:color="auto"/>
                <w:right w:val="none" w:sz="0" w:space="0" w:color="auto"/>
              </w:divBdr>
              <w:divsChild>
                <w:div w:id="96508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728511">
      <w:bodyDiv w:val="1"/>
      <w:marLeft w:val="0"/>
      <w:marRight w:val="0"/>
      <w:marTop w:val="0"/>
      <w:marBottom w:val="0"/>
      <w:divBdr>
        <w:top w:val="none" w:sz="0" w:space="0" w:color="auto"/>
        <w:left w:val="none" w:sz="0" w:space="0" w:color="auto"/>
        <w:bottom w:val="none" w:sz="0" w:space="0" w:color="auto"/>
        <w:right w:val="none" w:sz="0" w:space="0" w:color="auto"/>
      </w:divBdr>
      <w:divsChild>
        <w:div w:id="489368028">
          <w:marLeft w:val="0"/>
          <w:marRight w:val="0"/>
          <w:marTop w:val="0"/>
          <w:marBottom w:val="0"/>
          <w:divBdr>
            <w:top w:val="none" w:sz="0" w:space="0" w:color="auto"/>
            <w:left w:val="none" w:sz="0" w:space="0" w:color="auto"/>
            <w:bottom w:val="none" w:sz="0" w:space="0" w:color="auto"/>
            <w:right w:val="none" w:sz="0" w:space="0" w:color="auto"/>
          </w:divBdr>
          <w:divsChild>
            <w:div w:id="1863779492">
              <w:marLeft w:val="0"/>
              <w:marRight w:val="0"/>
              <w:marTop w:val="0"/>
              <w:marBottom w:val="0"/>
              <w:divBdr>
                <w:top w:val="none" w:sz="0" w:space="0" w:color="auto"/>
                <w:left w:val="none" w:sz="0" w:space="0" w:color="auto"/>
                <w:bottom w:val="none" w:sz="0" w:space="0" w:color="auto"/>
                <w:right w:val="none" w:sz="0" w:space="0" w:color="auto"/>
              </w:divBdr>
              <w:divsChild>
                <w:div w:id="1982037274">
                  <w:marLeft w:val="0"/>
                  <w:marRight w:val="0"/>
                  <w:marTop w:val="0"/>
                  <w:marBottom w:val="0"/>
                  <w:divBdr>
                    <w:top w:val="none" w:sz="0" w:space="0" w:color="auto"/>
                    <w:left w:val="none" w:sz="0" w:space="0" w:color="auto"/>
                    <w:bottom w:val="none" w:sz="0" w:space="0" w:color="auto"/>
                    <w:right w:val="none" w:sz="0" w:space="0" w:color="auto"/>
                  </w:divBdr>
                  <w:divsChild>
                    <w:div w:id="144280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oeisociety.com/oeis-registry.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791</Words>
  <Characters>4333</Characters>
  <Application>Microsoft Office Word</Application>
  <DocSecurity>0</DocSecurity>
  <Lines>108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Lauren</dc:creator>
  <cp:keywords/>
  <dc:description/>
  <cp:lastModifiedBy>Jones, Lauren</cp:lastModifiedBy>
  <cp:revision>2</cp:revision>
  <dcterms:created xsi:type="dcterms:W3CDTF">2018-02-20T22:16:00Z</dcterms:created>
  <dcterms:modified xsi:type="dcterms:W3CDTF">2018-02-20T22:16:00Z</dcterms:modified>
</cp:coreProperties>
</file>